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3 (Framework Prices)</w:t>
      </w:r>
    </w:p>
    <w:p w:rsidR="00000000" w:rsidDel="00000000" w:rsidP="00000000" w:rsidRDefault="00000000" w:rsidRPr="00000000" w14:paraId="00000002">
      <w:pPr>
        <w:numPr>
          <w:ilvl w:val="0"/>
          <w:numId w:val="1"/>
        </w:numPr>
        <w:pBdr>
          <w:top w:space="0" w:sz="0" w:val="nil"/>
          <w:left w:space="0" w:sz="0" w:val="nil"/>
          <w:bottom w:space="0" w:sz="0" w:val="nil"/>
          <w:right w:space="0" w:sz="0" w:val="nil"/>
          <w:between w:space="0" w:sz="0" w:val="nil"/>
        </w:pBdr>
        <w:tabs>
          <w:tab w:val="left" w:leader="none" w:pos="142"/>
        </w:tabs>
        <w:spacing w:after="240" w:before="120" w:line="240" w:lineRule="auto"/>
        <w:ind w:left="360" w:hanging="360"/>
        <w:jc w:val="both"/>
        <w:rPr/>
      </w:pPr>
      <w:bookmarkStart w:colFirst="0" w:colLast="0" w:name="_7aylv7lwvmf8" w:id="0"/>
      <w:bookmarkEnd w:id="0"/>
      <w:r w:rsidDel="00000000" w:rsidR="00000000" w:rsidRPr="00000000">
        <w:rPr>
          <w:rFonts w:ascii="Arial" w:cs="Arial" w:eastAsia="Arial" w:hAnsi="Arial"/>
          <w:b w:val="1"/>
          <w:color w:val="000000"/>
          <w:sz w:val="24"/>
          <w:szCs w:val="24"/>
          <w:rtl w:val="0"/>
        </w:rPr>
        <w:t xml:space="preserve">How Framework Prices are used to calculate Call-Off Charges</w:t>
      </w:r>
      <w:r w:rsidDel="00000000" w:rsidR="00000000" w:rsidRPr="00000000">
        <w:rPr>
          <w:rtl w:val="0"/>
        </w:rPr>
      </w:r>
    </w:p>
    <w:p w:rsidR="00000000" w:rsidDel="00000000" w:rsidP="00000000" w:rsidRDefault="00000000" w:rsidRPr="00000000" w14:paraId="00000003">
      <w:pPr>
        <w:numPr>
          <w:ilvl w:val="1"/>
          <w:numId w:val="1"/>
        </w:numPr>
        <w:pBdr>
          <w:top w:space="0" w:sz="0" w:val="nil"/>
          <w:left w:space="0" w:sz="0" w:val="nil"/>
          <w:bottom w:space="0" w:sz="0" w:val="nil"/>
          <w:right w:space="0" w:sz="0" w:val="nil"/>
          <w:between w:space="0" w:sz="0" w:val="nil"/>
        </w:pBdr>
        <w:tabs>
          <w:tab w:val="left" w:leader="none" w:pos="709"/>
        </w:tabs>
        <w:spacing w:after="120" w:before="120" w:line="240" w:lineRule="auto"/>
        <w:ind w:left="1134" w:hanging="567"/>
        <w:rPr/>
      </w:pPr>
      <w:r w:rsidDel="00000000" w:rsidR="00000000" w:rsidRPr="00000000">
        <w:rPr>
          <w:rFonts w:ascii="Arial" w:cs="Arial" w:eastAsia="Arial" w:hAnsi="Arial"/>
          <w:color w:val="000000"/>
          <w:sz w:val="24"/>
          <w:szCs w:val="24"/>
          <w:rtl w:val="0"/>
        </w:rPr>
        <w:t xml:space="preserve">The Framework Prices: </w:t>
      </w:r>
    </w:p>
    <w:p w:rsidR="00000000" w:rsidDel="00000000" w:rsidP="00000000" w:rsidRDefault="00000000" w:rsidRPr="00000000" w14:paraId="00000004">
      <w:pPr>
        <w:numPr>
          <w:ilvl w:val="2"/>
          <w:numId w:val="1"/>
        </w:numPr>
        <w:pBdr>
          <w:top w:space="0" w:sz="0" w:val="nil"/>
          <w:left w:space="0" w:sz="0" w:val="nil"/>
          <w:bottom w:space="0" w:sz="0" w:val="nil"/>
          <w:right w:space="0" w:sz="0" w:val="nil"/>
          <w:between w:space="0" w:sz="0" w:val="nil"/>
        </w:pBdr>
        <w:tabs>
          <w:tab w:val="left" w:leader="none" w:pos="1985"/>
          <w:tab w:val="left" w:leader="none" w:pos="2127"/>
          <w:tab w:val="left" w:leader="none" w:pos="1440"/>
        </w:tabs>
        <w:spacing w:after="120" w:before="120" w:line="240" w:lineRule="auto"/>
        <w:ind w:left="1980" w:hanging="810"/>
        <w:rPr>
          <w:rFonts w:ascii="Arial" w:cs="Arial" w:eastAsia="Arial" w:hAnsi="Arial"/>
        </w:rPr>
      </w:pPr>
      <w:r w:rsidDel="00000000" w:rsidR="00000000" w:rsidRPr="00000000">
        <w:rPr>
          <w:rFonts w:ascii="Arial" w:cs="Arial" w:eastAsia="Arial" w:hAnsi="Arial"/>
          <w:color w:val="000000"/>
          <w:sz w:val="24"/>
          <w:szCs w:val="24"/>
          <w:rtl w:val="0"/>
        </w:rPr>
        <w:t xml:space="preserve">will be used as the basis for the charges (and are maximums that the Supplier may charge) under each Call Off Contract; and</w:t>
      </w:r>
    </w:p>
    <w:p w:rsidR="00000000" w:rsidDel="00000000" w:rsidP="00000000" w:rsidRDefault="00000000" w:rsidRPr="00000000" w14:paraId="00000005">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0" w:hanging="810"/>
        <w:rPr>
          <w:rFonts w:ascii="Arial" w:cs="Arial" w:eastAsia="Arial" w:hAnsi="Arial"/>
        </w:rPr>
      </w:pPr>
      <w:r w:rsidDel="00000000" w:rsidR="00000000" w:rsidRPr="00000000">
        <w:rPr>
          <w:rFonts w:ascii="Arial" w:cs="Arial" w:eastAsia="Arial" w:hAnsi="Arial"/>
          <w:color w:val="000000"/>
          <w:sz w:val="24"/>
          <w:szCs w:val="24"/>
          <w:rtl w:val="0"/>
        </w:rPr>
        <w:t xml:space="preserve">cannot be increased except as in accordance with this Schedule.</w:t>
      </w:r>
    </w:p>
    <w:p w:rsidR="00000000" w:rsidDel="00000000" w:rsidP="00000000" w:rsidRDefault="00000000" w:rsidRPr="00000000" w14:paraId="00000006">
      <w:pPr>
        <w:numPr>
          <w:ilvl w:val="1"/>
          <w:numId w:val="1"/>
        </w:numPr>
        <w:pBdr>
          <w:top w:space="0" w:sz="0" w:val="nil"/>
          <w:left w:space="0" w:sz="0" w:val="nil"/>
          <w:bottom w:space="0" w:sz="0" w:val="nil"/>
          <w:right w:space="0" w:sz="0" w:val="nil"/>
          <w:between w:space="0" w:sz="0" w:val="nil"/>
        </w:pBdr>
        <w:tabs>
          <w:tab w:val="left" w:leader="none" w:pos="709"/>
        </w:tabs>
        <w:spacing w:after="120" w:before="120" w:line="240" w:lineRule="auto"/>
        <w:ind w:left="1134" w:hanging="567"/>
        <w:rPr/>
      </w:pPr>
      <w:r w:rsidDel="00000000" w:rsidR="00000000" w:rsidRPr="00000000">
        <w:rPr>
          <w:rFonts w:ascii="Arial" w:cs="Arial" w:eastAsia="Arial" w:hAnsi="Arial"/>
          <w:color w:val="000000"/>
          <w:sz w:val="24"/>
          <w:szCs w:val="24"/>
          <w:rtl w:val="0"/>
        </w:rPr>
        <w:t xml:space="preserve">The Charges:</w:t>
      </w:r>
    </w:p>
    <w:p w:rsidR="00000000" w:rsidDel="00000000" w:rsidP="00000000" w:rsidRDefault="00000000" w:rsidRPr="00000000" w14:paraId="00000007">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0" w:hanging="810"/>
        <w:rPr>
          <w:rFonts w:ascii="Arial" w:cs="Arial" w:eastAsia="Arial" w:hAnsi="Arial"/>
        </w:rPr>
      </w:pPr>
      <w:r w:rsidDel="00000000" w:rsidR="00000000" w:rsidRPr="00000000">
        <w:rPr>
          <w:rFonts w:ascii="Arial" w:cs="Arial" w:eastAsia="Arial" w:hAnsi="Arial"/>
          <w:color w:val="000000"/>
          <w:sz w:val="24"/>
          <w:szCs w:val="24"/>
          <w:rtl w:val="0"/>
        </w:rPr>
        <w:t xml:space="preserve">shall be calculated in accordance with the terms of the Call Off Contract and in particular in accordance with the terms of the Order Form; </w:t>
      </w:r>
    </w:p>
    <w:p w:rsidR="00000000" w:rsidDel="00000000" w:rsidP="00000000" w:rsidRDefault="00000000" w:rsidRPr="00000000" w14:paraId="00000008">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0" w:hanging="810"/>
        <w:rPr>
          <w:rFonts w:ascii="Arial" w:cs="Arial" w:eastAsia="Arial" w:hAnsi="Arial"/>
        </w:rPr>
      </w:pPr>
      <w:r w:rsidDel="00000000" w:rsidR="00000000" w:rsidRPr="00000000">
        <w:rPr>
          <w:rFonts w:ascii="Arial" w:cs="Arial" w:eastAsia="Arial" w:hAnsi="Arial"/>
          <w:color w:val="000000"/>
          <w:sz w:val="24"/>
          <w:szCs w:val="24"/>
          <w:rtl w:val="0"/>
        </w:rPr>
        <w:t xml:space="preserve">cannot be increased except as specifically permitted by the Call Off Contract and in particular shall only be subject to Indexation where specifically stated in the Order Form; and</w:t>
      </w:r>
    </w:p>
    <w:p w:rsidR="00000000" w:rsidDel="00000000" w:rsidP="00000000" w:rsidRDefault="00000000" w:rsidRPr="00000000" w14:paraId="00000009">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0" w:hanging="810"/>
        <w:rPr>
          <w:rFonts w:ascii="Arial" w:cs="Arial" w:eastAsia="Arial" w:hAnsi="Arial"/>
        </w:rPr>
      </w:pPr>
      <w:r w:rsidDel="00000000" w:rsidR="00000000" w:rsidRPr="00000000">
        <w:rPr>
          <w:rFonts w:ascii="Arial" w:cs="Arial" w:eastAsia="Arial" w:hAnsi="Arial"/>
          <w:color w:val="000000"/>
          <w:sz w:val="24"/>
          <w:szCs w:val="24"/>
          <w:rtl w:val="0"/>
        </w:rPr>
        <w:t xml:space="preserve">shall not be impacted by any change to the Framework Prices. </w:t>
      </w:r>
    </w:p>
    <w:p w:rsidR="00000000" w:rsidDel="00000000" w:rsidP="00000000" w:rsidRDefault="00000000" w:rsidRPr="00000000" w14:paraId="0000000A">
      <w:pPr>
        <w:numPr>
          <w:ilvl w:val="1"/>
          <w:numId w:val="1"/>
        </w:numPr>
        <w:pBdr>
          <w:top w:space="0" w:sz="0" w:val="nil"/>
          <w:left w:space="0" w:sz="0" w:val="nil"/>
          <w:bottom w:space="0" w:sz="0" w:val="nil"/>
          <w:right w:space="0" w:sz="0" w:val="nil"/>
          <w:between w:space="0" w:sz="0" w:val="nil"/>
        </w:pBdr>
        <w:tabs>
          <w:tab w:val="left" w:leader="none" w:pos="709"/>
        </w:tabs>
        <w:spacing w:after="120" w:before="120" w:line="240" w:lineRule="auto"/>
        <w:ind w:left="1134" w:hanging="567"/>
        <w:rPr/>
      </w:pPr>
      <w:bookmarkStart w:colFirst="0" w:colLast="0" w:name="_ox0pog2szqjn" w:id="1"/>
      <w:bookmarkEnd w:id="1"/>
      <w:r w:rsidDel="00000000" w:rsidR="00000000" w:rsidRPr="00000000">
        <w:rPr>
          <w:rFonts w:ascii="Arial" w:cs="Arial" w:eastAsia="Arial" w:hAnsi="Arial"/>
          <w:color w:val="000000"/>
          <w:sz w:val="24"/>
          <w:szCs w:val="24"/>
          <w:rtl w:val="0"/>
        </w:rPr>
        <w:t xml:space="preserve">Any variation to the Charges payable under a Call Off Contract must be agreed between the Supplier and the Buyer and implemented using the same procedure for altering Framework Prices in accordance with the provisions of this Framework Schedule 3</w:t>
      </w:r>
      <w:r w:rsidDel="00000000" w:rsidR="00000000" w:rsidRPr="00000000">
        <w:rPr>
          <w:rFonts w:ascii="Arial" w:cs="Arial" w:eastAsia="Arial" w:hAnsi="Arial"/>
          <w:sz w:val="24"/>
          <w:szCs w:val="24"/>
          <w:rtl w:val="0"/>
        </w:rPr>
        <w:t xml:space="preserve">.</w:t>
      </w:r>
      <w:r w:rsidDel="00000000" w:rsidR="00000000" w:rsidRPr="00000000">
        <w:rPr>
          <w:rtl w:val="0"/>
        </w:rPr>
      </w:r>
    </w:p>
    <w:p w:rsidR="00000000" w:rsidDel="00000000" w:rsidP="00000000" w:rsidRDefault="00000000" w:rsidRPr="00000000" w14:paraId="0000000B">
      <w:pPr>
        <w:numPr>
          <w:ilvl w:val="0"/>
          <w:numId w:val="1"/>
        </w:numPr>
        <w:pBdr>
          <w:top w:space="0" w:sz="0" w:val="nil"/>
          <w:left w:space="0" w:sz="0" w:val="nil"/>
          <w:bottom w:space="0" w:sz="0" w:val="nil"/>
          <w:right w:space="0" w:sz="0" w:val="nil"/>
          <w:between w:space="0" w:sz="0" w:val="nil"/>
        </w:pBdr>
        <w:tabs>
          <w:tab w:val="left" w:leader="none" w:pos="142"/>
        </w:tabs>
        <w:spacing w:after="240" w:before="120" w:line="240" w:lineRule="auto"/>
        <w:ind w:left="360" w:hanging="360"/>
        <w:jc w:val="both"/>
        <w:rPr/>
      </w:pPr>
      <w:r w:rsidDel="00000000" w:rsidR="00000000" w:rsidRPr="00000000">
        <w:rPr>
          <w:rFonts w:ascii="Arial" w:cs="Arial" w:eastAsia="Arial" w:hAnsi="Arial"/>
          <w:b w:val="1"/>
          <w:color w:val="000000"/>
          <w:sz w:val="24"/>
          <w:szCs w:val="24"/>
          <w:rtl w:val="0"/>
        </w:rPr>
        <w:t xml:space="preserve">How Framework Prices are calculated</w:t>
      </w:r>
      <w:r w:rsidDel="00000000" w:rsidR="00000000" w:rsidRPr="00000000">
        <w:rPr>
          <w:rtl w:val="0"/>
        </w:rPr>
      </w:r>
    </w:p>
    <w:p w:rsidR="00000000" w:rsidDel="00000000" w:rsidP="00000000" w:rsidRDefault="00000000" w:rsidRPr="00000000" w14:paraId="0000000C">
      <w:pPr>
        <w:numPr>
          <w:ilvl w:val="1"/>
          <w:numId w:val="1"/>
        </w:numPr>
        <w:pBdr>
          <w:top w:space="0" w:sz="0" w:val="nil"/>
          <w:left w:space="0" w:sz="0" w:val="nil"/>
          <w:bottom w:space="0" w:sz="0" w:val="nil"/>
          <w:right w:space="0" w:sz="0" w:val="nil"/>
          <w:between w:space="0" w:sz="0" w:val="nil"/>
        </w:pBdr>
        <w:tabs>
          <w:tab w:val="left" w:leader="none" w:pos="709"/>
        </w:tabs>
        <w:spacing w:after="120" w:before="120" w:line="240" w:lineRule="auto"/>
        <w:ind w:left="1134" w:hanging="567"/>
        <w:rPr/>
      </w:pPr>
      <w:r w:rsidDel="00000000" w:rsidR="00000000" w:rsidRPr="00000000">
        <w:rPr>
          <w:rFonts w:ascii="Arial" w:cs="Arial" w:eastAsia="Arial" w:hAnsi="Arial"/>
          <w:color w:val="000000"/>
          <w:sz w:val="24"/>
          <w:szCs w:val="24"/>
          <w:rtl w:val="0"/>
        </w:rPr>
        <w:t xml:space="preserve">The pricing mechanisms and prices set out in Annex 1 shall be available for use in calculation of Framework Prices in Call Off Contracts.</w:t>
      </w:r>
    </w:p>
    <w:bookmarkStart w:colFirst="0" w:colLast="0" w:name="gkvugemmgpy8" w:id="2"/>
    <w:bookmarkEnd w:id="2"/>
    <w:p w:rsidR="00000000" w:rsidDel="00000000" w:rsidP="00000000" w:rsidRDefault="00000000" w:rsidRPr="00000000" w14:paraId="0000000D">
      <w:pPr>
        <w:numPr>
          <w:ilvl w:val="0"/>
          <w:numId w:val="1"/>
        </w:numPr>
        <w:pBdr>
          <w:top w:space="0" w:sz="0" w:val="nil"/>
          <w:left w:space="0" w:sz="0" w:val="nil"/>
          <w:bottom w:space="0" w:sz="0" w:val="nil"/>
          <w:right w:space="0" w:sz="0" w:val="nil"/>
          <w:between w:space="0" w:sz="0" w:val="nil"/>
        </w:pBdr>
        <w:tabs>
          <w:tab w:val="left" w:leader="none" w:pos="142"/>
        </w:tabs>
        <w:spacing w:after="240" w:before="120" w:line="240" w:lineRule="auto"/>
        <w:ind w:left="360" w:hanging="360"/>
        <w:jc w:val="both"/>
        <w:rPr/>
      </w:pPr>
      <w:bookmarkStart w:colFirst="0" w:colLast="0" w:name="_9fygvnfgqd84" w:id="3"/>
      <w:bookmarkEnd w:id="3"/>
      <w:r w:rsidDel="00000000" w:rsidR="00000000" w:rsidRPr="00000000">
        <w:rPr>
          <w:rFonts w:ascii="Arial" w:cs="Arial" w:eastAsia="Arial" w:hAnsi="Arial"/>
          <w:b w:val="1"/>
          <w:color w:val="000000"/>
          <w:sz w:val="24"/>
          <w:szCs w:val="24"/>
          <w:rtl w:val="0"/>
        </w:rPr>
        <w:t xml:space="preserve">Are costs and expenses are included in the Framework Prices</w:t>
      </w:r>
      <w:r w:rsidDel="00000000" w:rsidR="00000000" w:rsidRPr="00000000">
        <w:rPr>
          <w:rtl w:val="0"/>
        </w:rPr>
      </w:r>
    </w:p>
    <w:p w:rsidR="00000000" w:rsidDel="00000000" w:rsidP="00000000" w:rsidRDefault="00000000" w:rsidRPr="00000000" w14:paraId="0000000E">
      <w:pPr>
        <w:numPr>
          <w:ilvl w:val="1"/>
          <w:numId w:val="1"/>
        </w:numPr>
        <w:pBdr>
          <w:top w:space="0" w:sz="0" w:val="nil"/>
          <w:left w:space="0" w:sz="0" w:val="nil"/>
          <w:bottom w:space="0" w:sz="0" w:val="nil"/>
          <w:right w:space="0" w:sz="0" w:val="nil"/>
          <w:between w:space="0" w:sz="0" w:val="nil"/>
        </w:pBdr>
        <w:tabs>
          <w:tab w:val="left" w:leader="none" w:pos="709"/>
        </w:tabs>
        <w:spacing w:after="120" w:before="120" w:line="240" w:lineRule="auto"/>
        <w:ind w:left="1134" w:hanging="567"/>
        <w:rPr/>
      </w:pPr>
      <w:r w:rsidDel="00000000" w:rsidR="00000000" w:rsidRPr="00000000">
        <w:rPr>
          <w:rFonts w:ascii="Arial" w:cs="Arial" w:eastAsia="Arial" w:hAnsi="Arial"/>
          <w:color w:val="000000"/>
          <w:sz w:val="24"/>
          <w:szCs w:val="24"/>
          <w:rtl w:val="0"/>
        </w:rPr>
        <w:t xml:space="preserve">Except as expressly set out in Paragraph 4 below, or otherwise stated in a Call Off Order Form the Framework Prices shall include all costs and expenses relating to the provision of Deliverables. No further amounts shall be payable in respect of matters such as:</w:t>
      </w:r>
    </w:p>
    <w:p w:rsidR="00000000" w:rsidDel="00000000" w:rsidP="00000000" w:rsidRDefault="00000000" w:rsidRPr="00000000" w14:paraId="0000000F">
      <w:pPr>
        <w:numPr>
          <w:ilvl w:val="2"/>
          <w:numId w:val="1"/>
        </w:numPr>
        <w:pBdr>
          <w:top w:space="0" w:sz="0" w:val="nil"/>
          <w:left w:space="0" w:sz="0" w:val="nil"/>
          <w:bottom w:space="0" w:sz="0" w:val="nil"/>
          <w:right w:space="0" w:sz="0" w:val="nil"/>
          <w:between w:space="0" w:sz="0" w:val="nil"/>
        </w:pBdr>
        <w:tabs>
          <w:tab w:val="left" w:leader="none" w:pos="1985"/>
          <w:tab w:val="left" w:leader="none" w:pos="2127"/>
          <w:tab w:val="left" w:leader="none" w:pos="1980"/>
        </w:tabs>
        <w:spacing w:after="120" w:before="120" w:line="240" w:lineRule="auto"/>
        <w:ind w:left="1980" w:hanging="810"/>
        <w:rPr>
          <w:rFonts w:ascii="Arial" w:cs="Arial" w:eastAsia="Arial" w:hAnsi="Arial"/>
        </w:rPr>
      </w:pPr>
      <w:r w:rsidDel="00000000" w:rsidR="00000000" w:rsidRPr="00000000">
        <w:rPr>
          <w:rFonts w:ascii="Arial" w:cs="Arial" w:eastAsia="Arial" w:hAnsi="Arial"/>
          <w:color w:val="000000"/>
          <w:sz w:val="24"/>
          <w:szCs w:val="24"/>
          <w:rtl w:val="0"/>
        </w:rPr>
        <w:t xml:space="preserve">incidental expenses such as travel, subsistence and lodging, document or report reproduction, shipping, desktop or office equipment costs, network or data interchange costs or other telecommunications charges; or</w:t>
      </w:r>
    </w:p>
    <w:p w:rsidR="00000000" w:rsidDel="00000000" w:rsidP="00000000" w:rsidRDefault="00000000" w:rsidRPr="00000000" w14:paraId="00000010">
      <w:pPr>
        <w:numPr>
          <w:ilvl w:val="2"/>
          <w:numId w:val="1"/>
        </w:numPr>
        <w:pBdr>
          <w:top w:space="0" w:sz="0" w:val="nil"/>
          <w:left w:space="0" w:sz="0" w:val="nil"/>
          <w:bottom w:space="0" w:sz="0" w:val="nil"/>
          <w:right w:space="0" w:sz="0" w:val="nil"/>
          <w:between w:space="0" w:sz="0" w:val="nil"/>
        </w:pBdr>
        <w:tabs>
          <w:tab w:val="left" w:leader="none" w:pos="1985"/>
          <w:tab w:val="left" w:leader="none" w:pos="2127"/>
          <w:tab w:val="left" w:leader="none" w:pos="1980"/>
        </w:tabs>
        <w:spacing w:after="120" w:before="120" w:line="240" w:lineRule="auto"/>
        <w:ind w:left="1980" w:hanging="810"/>
        <w:rPr>
          <w:rFonts w:ascii="Arial" w:cs="Arial" w:eastAsia="Arial" w:hAnsi="Arial"/>
        </w:rPr>
      </w:pPr>
      <w:r w:rsidDel="00000000" w:rsidR="00000000" w:rsidRPr="00000000">
        <w:rPr>
          <w:rFonts w:ascii="Arial" w:cs="Arial" w:eastAsia="Arial" w:hAnsi="Arial"/>
          <w:color w:val="000000"/>
          <w:sz w:val="24"/>
          <w:szCs w:val="24"/>
          <w:rtl w:val="0"/>
        </w:rPr>
        <w:t xml:space="preserve">costs incurred prior to the commencement of any Call Off Contract.</w:t>
      </w:r>
    </w:p>
    <w:p w:rsidR="00000000" w:rsidDel="00000000" w:rsidP="00000000" w:rsidRDefault="00000000" w:rsidRPr="00000000" w14:paraId="00000011">
      <w:pPr>
        <w:numPr>
          <w:ilvl w:val="0"/>
          <w:numId w:val="1"/>
        </w:numPr>
        <w:pBdr>
          <w:top w:space="0" w:sz="0" w:val="nil"/>
          <w:left w:space="0" w:sz="0" w:val="nil"/>
          <w:bottom w:space="0" w:sz="0" w:val="nil"/>
          <w:right w:space="0" w:sz="0" w:val="nil"/>
          <w:between w:space="0" w:sz="0" w:val="nil"/>
        </w:pBdr>
        <w:tabs>
          <w:tab w:val="left" w:leader="none" w:pos="142"/>
        </w:tabs>
        <w:spacing w:after="240" w:before="120" w:line="240" w:lineRule="auto"/>
        <w:ind w:left="360" w:hanging="360"/>
        <w:jc w:val="both"/>
        <w:rPr/>
      </w:pPr>
      <w:r w:rsidDel="00000000" w:rsidR="00000000" w:rsidRPr="00000000">
        <w:rPr>
          <w:rFonts w:ascii="Arial" w:cs="Arial" w:eastAsia="Arial" w:hAnsi="Arial"/>
          <w:b w:val="1"/>
          <w:sz w:val="24"/>
          <w:szCs w:val="24"/>
          <w:rtl w:val="0"/>
        </w:rPr>
        <w:t xml:space="preserve">Not used</w:t>
      </w:r>
      <w:r w:rsidDel="00000000" w:rsidR="00000000" w:rsidRPr="00000000">
        <w:rPr>
          <w:rtl w:val="0"/>
        </w:rPr>
      </w:r>
    </w:p>
    <w:p w:rsidR="00000000" w:rsidDel="00000000" w:rsidP="00000000" w:rsidRDefault="00000000" w:rsidRPr="00000000" w14:paraId="00000012">
      <w:pPr>
        <w:numPr>
          <w:ilvl w:val="0"/>
          <w:numId w:val="1"/>
        </w:numPr>
        <w:pBdr>
          <w:top w:space="0" w:sz="0" w:val="nil"/>
          <w:left w:space="0" w:sz="0" w:val="nil"/>
          <w:bottom w:space="0" w:sz="0" w:val="nil"/>
          <w:right w:space="0" w:sz="0" w:val="nil"/>
          <w:between w:space="0" w:sz="0" w:val="nil"/>
        </w:pBdr>
        <w:tabs>
          <w:tab w:val="left" w:leader="none" w:pos="142"/>
        </w:tabs>
        <w:spacing w:after="240" w:before="120" w:line="240" w:lineRule="auto"/>
        <w:ind w:left="360" w:hanging="360"/>
        <w:jc w:val="both"/>
        <w:rPr/>
      </w:pPr>
      <w:r w:rsidDel="00000000" w:rsidR="00000000" w:rsidRPr="00000000">
        <w:rPr>
          <w:rFonts w:ascii="Arial" w:cs="Arial" w:eastAsia="Arial" w:hAnsi="Arial"/>
          <w:b w:val="1"/>
          <w:color w:val="000000"/>
          <w:sz w:val="24"/>
          <w:szCs w:val="24"/>
          <w:rtl w:val="0"/>
        </w:rPr>
        <w:t xml:space="preserve">Other events that allow the Supplier to change the Framework Prices</w:t>
      </w:r>
      <w:r w:rsidDel="00000000" w:rsidR="00000000" w:rsidRPr="00000000">
        <w:rPr>
          <w:rtl w:val="0"/>
        </w:rPr>
      </w:r>
    </w:p>
    <w:p w:rsidR="00000000" w:rsidDel="00000000" w:rsidP="00000000" w:rsidRDefault="00000000" w:rsidRPr="00000000" w14:paraId="00000013">
      <w:pPr>
        <w:numPr>
          <w:ilvl w:val="1"/>
          <w:numId w:val="1"/>
        </w:numPr>
        <w:pBdr>
          <w:top w:space="0" w:sz="0" w:val="nil"/>
          <w:left w:space="0" w:sz="0" w:val="nil"/>
          <w:bottom w:space="0" w:sz="0" w:val="nil"/>
          <w:right w:space="0" w:sz="0" w:val="nil"/>
          <w:between w:space="0" w:sz="0" w:val="nil"/>
        </w:pBdr>
        <w:tabs>
          <w:tab w:val="left" w:leader="none" w:pos="709"/>
        </w:tabs>
        <w:spacing w:after="120" w:before="120" w:line="240" w:lineRule="auto"/>
        <w:ind w:left="1134" w:hanging="567"/>
        <w:rPr/>
      </w:pPr>
      <w:r w:rsidDel="00000000" w:rsidR="00000000" w:rsidRPr="00000000">
        <w:rPr>
          <w:rFonts w:ascii="Arial" w:cs="Arial" w:eastAsia="Arial" w:hAnsi="Arial"/>
          <w:color w:val="000000"/>
          <w:sz w:val="24"/>
          <w:szCs w:val="24"/>
          <w:rtl w:val="0"/>
        </w:rPr>
        <w:t xml:space="preserve">The Framework Prices can also be varied (and Annex 1 will be updated accordingly) due to:</w:t>
      </w:r>
    </w:p>
    <w:p w:rsidR="00000000" w:rsidDel="00000000" w:rsidP="00000000" w:rsidRDefault="00000000" w:rsidRPr="00000000" w14:paraId="00000014">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0" w:hanging="810"/>
        <w:rPr>
          <w:rFonts w:ascii="Arial" w:cs="Arial" w:eastAsia="Arial" w:hAnsi="Arial"/>
        </w:rPr>
      </w:pPr>
      <w:r w:rsidDel="00000000" w:rsidR="00000000" w:rsidRPr="00000000">
        <w:rPr>
          <w:rFonts w:ascii="Arial" w:cs="Arial" w:eastAsia="Arial" w:hAnsi="Arial"/>
          <w:color w:val="000000"/>
          <w:sz w:val="24"/>
          <w:szCs w:val="24"/>
          <w:rtl w:val="0"/>
        </w:rPr>
        <w:t xml:space="preserve">a Specific Change in Law in accordance with Clause 24;</w:t>
      </w:r>
    </w:p>
    <w:p w:rsidR="00000000" w:rsidDel="00000000" w:rsidP="00000000" w:rsidRDefault="00000000" w:rsidRPr="00000000" w14:paraId="00000015">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0" w:hanging="810"/>
        <w:rPr>
          <w:rFonts w:ascii="Arial" w:cs="Arial" w:eastAsia="Arial" w:hAnsi="Arial"/>
        </w:rPr>
      </w:pPr>
      <w:r w:rsidDel="00000000" w:rsidR="00000000" w:rsidRPr="00000000">
        <w:rPr>
          <w:rFonts w:ascii="Arial" w:cs="Arial" w:eastAsia="Arial" w:hAnsi="Arial"/>
          <w:color w:val="000000"/>
          <w:sz w:val="24"/>
          <w:szCs w:val="24"/>
          <w:rtl w:val="0"/>
        </w:rPr>
        <w:t xml:space="preserve">a review in accordance with insurance requirements in Clause 13; </w:t>
      </w:r>
    </w:p>
    <w:p w:rsidR="00000000" w:rsidDel="00000000" w:rsidP="00000000" w:rsidRDefault="00000000" w:rsidRPr="00000000" w14:paraId="00000016">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0" w:hanging="810"/>
        <w:rPr>
          <w:rFonts w:ascii="Arial" w:cs="Arial" w:eastAsia="Arial" w:hAnsi="Arial"/>
        </w:rPr>
      </w:pPr>
      <w:r w:rsidDel="00000000" w:rsidR="00000000" w:rsidRPr="00000000">
        <w:rPr>
          <w:rFonts w:ascii="Arial" w:cs="Arial" w:eastAsia="Arial" w:hAnsi="Arial"/>
          <w:color w:val="000000"/>
          <w:sz w:val="24"/>
          <w:szCs w:val="24"/>
          <w:rtl w:val="0"/>
        </w:rPr>
        <w:t xml:space="preserve">a benchmarking review in accordance with Call Off Schedule 16 (Benchmarking)]</w:t>
      </w:r>
    </w:p>
    <w:p w:rsidR="00000000" w:rsidDel="00000000" w:rsidP="00000000" w:rsidRDefault="00000000" w:rsidRPr="00000000" w14:paraId="00000017">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0" w:hanging="810"/>
        <w:rPr>
          <w:rFonts w:ascii="Arial" w:cs="Arial" w:eastAsia="Arial" w:hAnsi="Arial"/>
        </w:rPr>
      </w:pPr>
      <w:r w:rsidDel="00000000" w:rsidR="00000000" w:rsidRPr="00000000">
        <w:rPr>
          <w:rFonts w:ascii="Arial" w:cs="Arial" w:eastAsia="Arial" w:hAnsi="Arial"/>
          <w:color w:val="000000"/>
          <w:sz w:val="24"/>
          <w:szCs w:val="24"/>
          <w:rtl w:val="0"/>
        </w:rPr>
        <w:t xml:space="preserve">a request from the Supplier, which it can make at any time, to decrease the Framework Prices; and</w:t>
      </w:r>
    </w:p>
    <w:p w:rsidR="00000000" w:rsidDel="00000000" w:rsidP="00000000" w:rsidRDefault="00000000" w:rsidRPr="00000000" w14:paraId="00000018">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0" w:hanging="810"/>
        <w:rPr>
          <w:rFonts w:ascii="Arial" w:cs="Arial" w:eastAsia="Arial" w:hAnsi="Arial"/>
        </w:rPr>
      </w:pPr>
      <w:r w:rsidDel="00000000" w:rsidR="00000000" w:rsidRPr="00000000">
        <w:rPr>
          <w:rFonts w:ascii="Arial" w:cs="Arial" w:eastAsia="Arial" w:hAnsi="Arial"/>
          <w:color w:val="000000"/>
          <w:sz w:val="24"/>
          <w:szCs w:val="24"/>
          <w:rtl w:val="0"/>
        </w:rPr>
        <w:t xml:space="preserve">indexation, where Annex 1 states that a particular Framework Price or any component is “subject to Indexation” in which event Paragraph 7 below shall apply.</w:t>
      </w:r>
      <w:r w:rsidDel="00000000" w:rsidR="00000000" w:rsidRPr="00000000">
        <w:rPr>
          <w:rtl w:val="0"/>
        </w:rPr>
      </w:r>
    </w:p>
    <w:p w:rsidR="00000000" w:rsidDel="00000000" w:rsidP="00000000" w:rsidRDefault="00000000" w:rsidRPr="00000000" w14:paraId="00000019">
      <w:pPr>
        <w:numPr>
          <w:ilvl w:val="0"/>
          <w:numId w:val="1"/>
        </w:numPr>
        <w:pBdr>
          <w:top w:space="0" w:sz="0" w:val="nil"/>
          <w:left w:space="0" w:sz="0" w:val="nil"/>
          <w:bottom w:space="0" w:sz="0" w:val="nil"/>
          <w:right w:space="0" w:sz="0" w:val="nil"/>
          <w:between w:space="0" w:sz="0" w:val="nil"/>
        </w:pBdr>
        <w:tabs>
          <w:tab w:val="left" w:leader="none" w:pos="142"/>
        </w:tabs>
        <w:spacing w:after="240" w:before="120" w:line="240" w:lineRule="auto"/>
        <w:ind w:left="360" w:hanging="360"/>
        <w:jc w:val="both"/>
        <w:rPr>
          <w:rFonts w:ascii="Arial" w:cs="Arial" w:eastAsia="Arial" w:hAnsi="Arial"/>
          <w:b w:val="1"/>
          <w:sz w:val="24"/>
          <w:szCs w:val="24"/>
        </w:rPr>
      </w:pPr>
      <w:r w:rsidDel="00000000" w:rsidR="00000000" w:rsidRPr="00000000">
        <w:rPr>
          <w:rFonts w:ascii="Arial" w:cs="Arial" w:eastAsia="Arial" w:hAnsi="Arial"/>
          <w:b w:val="1"/>
          <w:color w:val="000000"/>
          <w:sz w:val="24"/>
          <w:szCs w:val="24"/>
          <w:rtl w:val="0"/>
        </w:rPr>
        <w:t xml:space="preserve">When the Framework Prices are linked to inflation</w:t>
      </w:r>
    </w:p>
    <w:p w:rsidR="00000000" w:rsidDel="00000000" w:rsidP="00000000" w:rsidRDefault="00000000" w:rsidRPr="00000000" w14:paraId="0000001A">
      <w:pPr>
        <w:numPr>
          <w:ilvl w:val="1"/>
          <w:numId w:val="1"/>
        </w:numPr>
        <w:tabs>
          <w:tab w:val="left" w:leader="none" w:pos="709"/>
        </w:tabs>
        <w:spacing w:after="120" w:before="120" w:line="240" w:lineRule="auto"/>
        <w:ind w:left="992" w:hanging="425"/>
        <w:rPr/>
      </w:pPr>
      <w:r w:rsidDel="00000000" w:rsidR="00000000" w:rsidRPr="00000000">
        <w:rPr>
          <w:rFonts w:ascii="Arial" w:cs="Arial" w:eastAsia="Arial" w:hAnsi="Arial"/>
          <w:sz w:val="24"/>
          <w:szCs w:val="24"/>
          <w:rtl w:val="0"/>
        </w:rPr>
        <w:t xml:space="preserve">The Framework Prices will be fixed for the first 2 years following the Framework Start Date (the date of expiry of such period is a "</w:t>
      </w:r>
      <w:r w:rsidDel="00000000" w:rsidR="00000000" w:rsidRPr="00000000">
        <w:rPr>
          <w:rFonts w:ascii="Arial" w:cs="Arial" w:eastAsia="Arial" w:hAnsi="Arial"/>
          <w:b w:val="1"/>
          <w:sz w:val="24"/>
          <w:szCs w:val="24"/>
          <w:rtl w:val="0"/>
        </w:rPr>
        <w:t xml:space="preserve">Review Date</w:t>
      </w:r>
      <w:r w:rsidDel="00000000" w:rsidR="00000000" w:rsidRPr="00000000">
        <w:rPr>
          <w:rFonts w:ascii="Arial" w:cs="Arial" w:eastAsia="Arial" w:hAnsi="Arial"/>
          <w:sz w:val="24"/>
          <w:szCs w:val="24"/>
          <w:rtl w:val="0"/>
        </w:rPr>
        <w:t xml:space="preserve">"). After this Framework Prices can only be adjusted on each following yearly anniversary (the date of each such anniversary is also a "</w:t>
      </w:r>
      <w:r w:rsidDel="00000000" w:rsidR="00000000" w:rsidRPr="00000000">
        <w:rPr>
          <w:rFonts w:ascii="Arial" w:cs="Arial" w:eastAsia="Arial" w:hAnsi="Arial"/>
          <w:b w:val="1"/>
          <w:sz w:val="24"/>
          <w:szCs w:val="24"/>
          <w:rtl w:val="0"/>
        </w:rPr>
        <w:t xml:space="preserve">Review Date</w:t>
      </w:r>
      <w:r w:rsidDel="00000000" w:rsidR="00000000" w:rsidRPr="00000000">
        <w:rPr>
          <w:rFonts w:ascii="Arial" w:cs="Arial" w:eastAsia="Arial" w:hAnsi="Arial"/>
          <w:sz w:val="24"/>
          <w:szCs w:val="24"/>
          <w:rtl w:val="0"/>
        </w:rPr>
        <w:t xml:space="preserve">").</w:t>
      </w:r>
      <w:r w:rsidDel="00000000" w:rsidR="00000000" w:rsidRPr="00000000">
        <w:rPr>
          <w:rtl w:val="0"/>
        </w:rPr>
      </w:r>
    </w:p>
    <w:p w:rsidR="00000000" w:rsidDel="00000000" w:rsidP="00000000" w:rsidRDefault="00000000" w:rsidRPr="00000000" w14:paraId="0000001B">
      <w:pPr>
        <w:numPr>
          <w:ilvl w:val="1"/>
          <w:numId w:val="1"/>
        </w:numPr>
        <w:tabs>
          <w:tab w:val="left" w:leader="none" w:pos="709"/>
        </w:tabs>
        <w:spacing w:after="120" w:before="120" w:line="240" w:lineRule="auto"/>
        <w:ind w:left="992" w:hanging="425"/>
        <w:rPr/>
      </w:pPr>
      <w:r w:rsidDel="00000000" w:rsidR="00000000" w:rsidRPr="00000000">
        <w:rPr>
          <w:rFonts w:ascii="Arial" w:cs="Arial" w:eastAsia="Arial" w:hAnsi="Arial"/>
          <w:sz w:val="24"/>
          <w:szCs w:val="24"/>
          <w:rtl w:val="0"/>
        </w:rPr>
        <w:t xml:space="preserve">Where the Framework Prices are stated to be "subject to Indexation", upon the request of the Supplier, they shall be adjusted in line with changes in the Service Producer Price Indices ("SPPI"), group 69.2 Accounting, bookkeeping and auditing activities; tax consultancy.The Supplier shall give CCS at least three (3), but no more than five (5), Months' notice in writing prior to a Review Date where it wants to request an adjustment. If the Supplier does not give notice in time then it will only be able to request an increase prior to the next Review Date. All other costs, expenses, fees and charges shall not be adjusted to take account of any inflation, change to exchange rate, change to interest rate or any other factor or element which might otherwise increase the cost to the Supplier.</w:t>
      </w:r>
      <w:r w:rsidDel="00000000" w:rsidR="00000000" w:rsidRPr="00000000">
        <w:rPr>
          <w:rtl w:val="0"/>
        </w:rPr>
      </w:r>
    </w:p>
    <w:p w:rsidR="00000000" w:rsidDel="00000000" w:rsidP="00000000" w:rsidRDefault="00000000" w:rsidRPr="00000000" w14:paraId="0000001C">
      <w:pPr>
        <w:numPr>
          <w:ilvl w:val="1"/>
          <w:numId w:val="1"/>
        </w:numPr>
        <w:tabs>
          <w:tab w:val="left" w:leader="none" w:pos="709"/>
        </w:tabs>
        <w:spacing w:after="120" w:before="120" w:line="240" w:lineRule="auto"/>
        <w:ind w:left="992" w:hanging="425"/>
        <w:rPr/>
      </w:pPr>
      <w:r w:rsidDel="00000000" w:rsidR="00000000" w:rsidRPr="00000000">
        <w:rPr>
          <w:rFonts w:ascii="Arial" w:cs="Arial" w:eastAsia="Arial" w:hAnsi="Arial"/>
          <w:sz w:val="24"/>
          <w:szCs w:val="24"/>
          <w:rtl w:val="0"/>
        </w:rPr>
        <w:t xml:space="preserve">Where a request is made in accordance with Paragraph 6.2 above and  Annex 1 states a Framework Price is subject to Indexation, then it will be indexed on the date which is 2 years after the Framework Start Date, and on each following yearly anniversary where an additional request has been made, to reflect the SSPI group 69.2 as at the January preceding the Review Date. </w:t>
      </w:r>
      <w:r w:rsidDel="00000000" w:rsidR="00000000" w:rsidRPr="00000000">
        <w:rPr>
          <w:rFonts w:ascii="Arial" w:cs="Arial" w:eastAsia="Arial" w:hAnsi="Arial"/>
          <w:sz w:val="24"/>
          <w:szCs w:val="24"/>
          <w:highlight w:val="yellow"/>
          <w:rtl w:val="0"/>
        </w:rPr>
        <w:t xml:space="preserve"> </w:t>
      </w:r>
      <w:r w:rsidDel="00000000" w:rsidR="00000000" w:rsidRPr="00000000">
        <w:rPr>
          <w:rtl w:val="0"/>
        </w:rPr>
      </w:r>
    </w:p>
    <w:p w:rsidR="00000000" w:rsidDel="00000000" w:rsidP="00000000" w:rsidRDefault="00000000" w:rsidRPr="00000000" w14:paraId="0000001D">
      <w:pPr>
        <w:numPr>
          <w:ilvl w:val="1"/>
          <w:numId w:val="1"/>
        </w:numPr>
        <w:tabs>
          <w:tab w:val="left" w:leader="none" w:pos="709"/>
        </w:tabs>
        <w:spacing w:after="120" w:before="120" w:line="240" w:lineRule="auto"/>
        <w:ind w:left="992" w:hanging="425"/>
        <w:rPr/>
      </w:pPr>
      <w:r w:rsidDel="00000000" w:rsidR="00000000" w:rsidRPr="00000000">
        <w:rPr>
          <w:rFonts w:ascii="Arial" w:cs="Arial" w:eastAsia="Arial" w:hAnsi="Arial"/>
          <w:sz w:val="24"/>
          <w:szCs w:val="24"/>
          <w:rtl w:val="0"/>
        </w:rPr>
        <w:t xml:space="preserve">Where the SPPI Index:</w:t>
      </w:r>
      <w:r w:rsidDel="00000000" w:rsidR="00000000" w:rsidRPr="00000000">
        <w:rPr>
          <w:rtl w:val="0"/>
        </w:rPr>
      </w:r>
    </w:p>
    <w:p w:rsidR="00000000" w:rsidDel="00000000" w:rsidP="00000000" w:rsidRDefault="00000000" w:rsidRPr="00000000" w14:paraId="0000001E">
      <w:pPr>
        <w:numPr>
          <w:ilvl w:val="2"/>
          <w:numId w:val="1"/>
        </w:numPr>
        <w:tabs>
          <w:tab w:val="left" w:leader="none" w:pos="1985"/>
          <w:tab w:val="left" w:leader="none" w:pos="2127"/>
        </w:tabs>
        <w:spacing w:after="120" w:before="120" w:line="240" w:lineRule="auto"/>
        <w:ind w:left="1984" w:hanging="850"/>
        <w:rPr>
          <w:rFonts w:ascii="Arial" w:cs="Arial" w:eastAsia="Arial" w:hAnsi="Arial"/>
        </w:rPr>
      </w:pPr>
      <w:r w:rsidDel="00000000" w:rsidR="00000000" w:rsidRPr="00000000">
        <w:rPr>
          <w:rFonts w:ascii="Arial" w:cs="Arial" w:eastAsia="Arial" w:hAnsi="Arial"/>
          <w:sz w:val="24"/>
          <w:szCs w:val="24"/>
          <w:rtl w:val="0"/>
        </w:rPr>
        <w:t xml:space="preserve">used to carry out an indexation calculation is updated (for example due to it being provisional) then the indexation calculation shall also be updated unless CCS and the Supplier agree otherwise; </w:t>
      </w:r>
      <w:r w:rsidDel="00000000" w:rsidR="00000000" w:rsidRPr="00000000">
        <w:rPr>
          <w:rtl w:val="0"/>
        </w:rPr>
      </w:r>
    </w:p>
    <w:p w:rsidR="00000000" w:rsidDel="00000000" w:rsidP="00000000" w:rsidRDefault="00000000" w:rsidRPr="00000000" w14:paraId="0000001F">
      <w:pPr>
        <w:numPr>
          <w:ilvl w:val="2"/>
          <w:numId w:val="1"/>
        </w:numPr>
        <w:tabs>
          <w:tab w:val="left" w:leader="none" w:pos="1985"/>
          <w:tab w:val="left" w:leader="none" w:pos="2127"/>
        </w:tabs>
        <w:spacing w:after="120" w:before="120" w:line="240" w:lineRule="auto"/>
        <w:ind w:left="1984" w:hanging="850"/>
        <w:rPr>
          <w:rFonts w:ascii="Arial" w:cs="Arial" w:eastAsia="Arial" w:hAnsi="Arial"/>
        </w:rPr>
      </w:pPr>
      <w:r w:rsidDel="00000000" w:rsidR="00000000" w:rsidRPr="00000000">
        <w:rPr>
          <w:rFonts w:ascii="Arial" w:cs="Arial" w:eastAsia="Arial" w:hAnsi="Arial"/>
          <w:sz w:val="24"/>
          <w:szCs w:val="24"/>
          <w:rtl w:val="0"/>
        </w:rPr>
        <w:t xml:space="preserve">is no longer published, CCS and the Supplier shall agree a fair and reasonable replacement that will have substantially the same effect.</w:t>
      </w:r>
      <w:r w:rsidDel="00000000" w:rsidR="00000000" w:rsidRPr="00000000">
        <w:rPr>
          <w:rtl w:val="0"/>
        </w:rPr>
      </w:r>
    </w:p>
    <w:p w:rsidR="00000000" w:rsidDel="00000000" w:rsidP="00000000" w:rsidRDefault="00000000" w:rsidRPr="00000000" w14:paraId="00000020">
      <w:pPr>
        <w:numPr>
          <w:ilvl w:val="1"/>
          <w:numId w:val="1"/>
        </w:numPr>
        <w:tabs>
          <w:tab w:val="left" w:leader="none" w:pos="1985"/>
          <w:tab w:val="left" w:leader="none" w:pos="2127"/>
        </w:tabs>
        <w:spacing w:after="120" w:before="120" w:line="240" w:lineRule="auto"/>
        <w:ind w:left="992" w:hanging="425"/>
        <w:rPr/>
      </w:pPr>
      <w:r w:rsidDel="00000000" w:rsidR="00000000" w:rsidRPr="00000000">
        <w:rPr>
          <w:rFonts w:ascii="Arial" w:cs="Arial" w:eastAsia="Arial" w:hAnsi="Arial"/>
          <w:sz w:val="24"/>
          <w:szCs w:val="24"/>
          <w:rtl w:val="0"/>
        </w:rPr>
        <w:t xml:space="preserve">Where the Order Form permits, the Buyer may apply SPPI group 69.2 to the Charges. With agreement from the Buyer, the Charges may exceed the Framework Prices after the Framework Expiry Date.</w:t>
      </w:r>
      <w:r w:rsidDel="00000000" w:rsidR="00000000" w:rsidRPr="00000000">
        <w:rPr>
          <w:rtl w:val="0"/>
        </w:rPr>
      </w:r>
    </w:p>
    <w:p w:rsidR="00000000" w:rsidDel="00000000" w:rsidP="00000000" w:rsidRDefault="00000000" w:rsidRPr="00000000" w14:paraId="00000021">
      <w:pPr>
        <w:tabs>
          <w:tab w:val="left" w:leader="none" w:pos="1985"/>
          <w:tab w:val="left" w:leader="none" w:pos="2127"/>
        </w:tabs>
        <w:spacing w:after="120" w:before="120" w:line="240" w:lineRule="auto"/>
        <w:ind w:left="644"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2">
      <w:pPr>
        <w:numPr>
          <w:ilvl w:val="0"/>
          <w:numId w:val="1"/>
        </w:numPr>
        <w:pBdr>
          <w:top w:space="0" w:sz="0" w:val="nil"/>
          <w:left w:space="0" w:sz="0" w:val="nil"/>
          <w:bottom w:space="0" w:sz="0" w:val="nil"/>
          <w:right w:space="0" w:sz="0" w:val="nil"/>
          <w:between w:space="0" w:sz="0" w:val="nil"/>
        </w:pBdr>
        <w:tabs>
          <w:tab w:val="left" w:leader="none" w:pos="142"/>
        </w:tabs>
        <w:spacing w:after="240" w:before="120" w:line="240" w:lineRule="auto"/>
        <w:ind w:left="360" w:hanging="360"/>
        <w:jc w:val="both"/>
        <w:rPr>
          <w:rFonts w:ascii="Arial" w:cs="Arial" w:eastAsia="Arial" w:hAnsi="Arial"/>
          <w:b w:val="1"/>
          <w:sz w:val="24"/>
          <w:szCs w:val="24"/>
        </w:rPr>
      </w:pPr>
      <w:r w:rsidDel="00000000" w:rsidR="00000000" w:rsidRPr="00000000">
        <w:rPr>
          <w:rFonts w:ascii="Arial" w:cs="Arial" w:eastAsia="Arial" w:hAnsi="Arial"/>
          <w:b w:val="1"/>
          <w:color w:val="000000"/>
          <w:sz w:val="24"/>
          <w:szCs w:val="24"/>
          <w:rtl w:val="0"/>
        </w:rPr>
        <w:t xml:space="preserve">When you will be reimbursed for travel and subsistence</w:t>
      </w:r>
    </w:p>
    <w:p w:rsidR="00000000" w:rsidDel="00000000" w:rsidP="00000000" w:rsidRDefault="00000000" w:rsidRPr="00000000" w14:paraId="00000023">
      <w:pPr>
        <w:numPr>
          <w:ilvl w:val="1"/>
          <w:numId w:val="1"/>
        </w:numPr>
        <w:pBdr>
          <w:top w:space="0" w:sz="0" w:val="nil"/>
          <w:left w:space="0" w:sz="0" w:val="nil"/>
          <w:bottom w:space="0" w:sz="0" w:val="nil"/>
          <w:right w:space="0" w:sz="0" w:val="nil"/>
          <w:between w:space="0" w:sz="0" w:val="nil"/>
        </w:pBdr>
        <w:tabs>
          <w:tab w:val="left" w:leader="none" w:pos="709"/>
        </w:tabs>
        <w:spacing w:after="120" w:before="120" w:line="240" w:lineRule="auto"/>
        <w:ind w:left="1134" w:hanging="567"/>
        <w:rPr/>
      </w:pPr>
      <w:r w:rsidDel="00000000" w:rsidR="00000000" w:rsidRPr="00000000">
        <w:rPr>
          <w:rFonts w:ascii="Arial" w:cs="Arial" w:eastAsia="Arial" w:hAnsi="Arial"/>
          <w:color w:val="000000"/>
          <w:sz w:val="24"/>
          <w:szCs w:val="24"/>
          <w:rtl w:val="0"/>
        </w:rPr>
        <w:t xml:space="preserve">Expenses shall only be recoverable where:</w:t>
      </w:r>
    </w:p>
    <w:p w:rsidR="00000000" w:rsidDel="00000000" w:rsidP="00000000" w:rsidRDefault="00000000" w:rsidRPr="00000000" w14:paraId="00000024">
      <w:pPr>
        <w:numPr>
          <w:ilvl w:val="2"/>
          <w:numId w:val="1"/>
        </w:numPr>
        <w:pBdr>
          <w:top w:space="0" w:sz="0" w:val="nil"/>
          <w:left w:space="0" w:sz="0" w:val="nil"/>
          <w:bottom w:space="0" w:sz="0" w:val="nil"/>
          <w:right w:space="0" w:sz="0" w:val="nil"/>
          <w:between w:space="0" w:sz="0" w:val="nil"/>
        </w:pBdr>
        <w:tabs>
          <w:tab w:val="left" w:leader="none" w:pos="1985"/>
          <w:tab w:val="left" w:leader="none" w:pos="2127"/>
          <w:tab w:val="left" w:leader="none" w:pos="1980"/>
        </w:tabs>
        <w:spacing w:after="120" w:before="120" w:line="240" w:lineRule="auto"/>
        <w:ind w:left="1980" w:hanging="810"/>
        <w:rPr>
          <w:rFonts w:ascii="Arial" w:cs="Arial" w:eastAsia="Arial" w:hAnsi="Arial"/>
        </w:rPr>
      </w:pPr>
      <w:r w:rsidDel="00000000" w:rsidR="00000000" w:rsidRPr="00000000">
        <w:rPr>
          <w:rFonts w:ascii="Arial" w:cs="Arial" w:eastAsia="Arial" w:hAnsi="Arial"/>
          <w:color w:val="000000"/>
          <w:sz w:val="24"/>
          <w:szCs w:val="24"/>
          <w:rtl w:val="0"/>
        </w:rPr>
        <w:t xml:space="preserve">the Order Form states that recovery is permitted; and</w:t>
      </w:r>
    </w:p>
    <w:p w:rsidR="00000000" w:rsidDel="00000000" w:rsidP="00000000" w:rsidRDefault="00000000" w:rsidRPr="00000000" w14:paraId="00000025">
      <w:pPr>
        <w:numPr>
          <w:ilvl w:val="2"/>
          <w:numId w:val="1"/>
        </w:numPr>
        <w:pBdr>
          <w:top w:space="0" w:sz="0" w:val="nil"/>
          <w:left w:space="0" w:sz="0" w:val="nil"/>
          <w:bottom w:space="0" w:sz="0" w:val="nil"/>
          <w:right w:space="0" w:sz="0" w:val="nil"/>
          <w:between w:space="0" w:sz="0" w:val="nil"/>
        </w:pBdr>
        <w:tabs>
          <w:tab w:val="left" w:leader="none" w:pos="1985"/>
          <w:tab w:val="left" w:leader="none" w:pos="2127"/>
          <w:tab w:val="left" w:leader="none" w:pos="1980"/>
        </w:tabs>
        <w:spacing w:after="120" w:before="120" w:line="240" w:lineRule="auto"/>
        <w:ind w:left="1980" w:hanging="810"/>
        <w:rPr>
          <w:rFonts w:ascii="Arial" w:cs="Arial" w:eastAsia="Arial" w:hAnsi="Arial"/>
        </w:rPr>
      </w:pPr>
      <w:r w:rsidDel="00000000" w:rsidR="00000000" w:rsidRPr="00000000">
        <w:rPr>
          <w:rFonts w:ascii="Arial" w:cs="Arial" w:eastAsia="Arial" w:hAnsi="Arial"/>
          <w:color w:val="000000"/>
          <w:sz w:val="24"/>
          <w:szCs w:val="24"/>
          <w:rtl w:val="0"/>
        </w:rPr>
        <w:t xml:space="preserve">they are Reimburseable Expenses and are supported by Supporting Documentation.</w:t>
      </w:r>
    </w:p>
    <w:p w:rsidR="00000000" w:rsidDel="00000000" w:rsidP="00000000" w:rsidRDefault="00000000" w:rsidRPr="00000000" w14:paraId="00000026">
      <w:pPr>
        <w:numPr>
          <w:ilvl w:val="1"/>
          <w:numId w:val="1"/>
        </w:numPr>
        <w:pBdr>
          <w:top w:space="0" w:sz="0" w:val="nil"/>
          <w:left w:space="0" w:sz="0" w:val="nil"/>
          <w:bottom w:space="0" w:sz="0" w:val="nil"/>
          <w:right w:space="0" w:sz="0" w:val="nil"/>
          <w:between w:space="0" w:sz="0" w:val="nil"/>
        </w:pBdr>
        <w:tabs>
          <w:tab w:val="left" w:leader="none" w:pos="709"/>
        </w:tabs>
        <w:spacing w:after="120" w:before="120" w:line="240" w:lineRule="auto"/>
        <w:ind w:left="1134" w:hanging="567"/>
        <w:rPr/>
      </w:pPr>
      <w:bookmarkStart w:colFirst="0" w:colLast="0" w:name="_oqw0q0vevmrs" w:id="4"/>
      <w:bookmarkEnd w:id="4"/>
      <w:r w:rsidDel="00000000" w:rsidR="00000000" w:rsidRPr="00000000">
        <w:rPr>
          <w:rFonts w:ascii="Arial" w:cs="Arial" w:eastAsia="Arial" w:hAnsi="Arial"/>
          <w:color w:val="000000"/>
          <w:sz w:val="24"/>
          <w:szCs w:val="24"/>
          <w:rtl w:val="0"/>
        </w:rPr>
        <w:t xml:space="preserve">The Buyer shall provide a copy of their current expenses policy to the Supplier upon request. </w:t>
      </w:r>
    </w:p>
    <w:p w:rsidR="00000000" w:rsidDel="00000000" w:rsidP="00000000" w:rsidRDefault="00000000" w:rsidRPr="00000000" w14:paraId="00000027">
      <w:p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656" w:hanging="1372"/>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8">
      <w:pPr>
        <w:rPr>
          <w:rFonts w:ascii="Arial" w:cs="Arial" w:eastAsia="Arial" w:hAnsi="Arial"/>
          <w:b w:val="1"/>
          <w:sz w:val="36"/>
          <w:szCs w:val="36"/>
        </w:rPr>
      </w:pPr>
      <w:bookmarkStart w:colFirst="0" w:colLast="0" w:name="_n8fzzt5dogev" w:id="5"/>
      <w:bookmarkEnd w:id="5"/>
      <w:r w:rsidDel="00000000" w:rsidR="00000000" w:rsidRPr="00000000">
        <w:br w:type="page"/>
      </w:r>
      <w:r w:rsidDel="00000000" w:rsidR="00000000" w:rsidRPr="00000000">
        <w:rPr>
          <w:rFonts w:ascii="Arial" w:cs="Arial" w:eastAsia="Arial" w:hAnsi="Arial"/>
          <w:b w:val="1"/>
          <w:sz w:val="36"/>
          <w:szCs w:val="36"/>
          <w:rtl w:val="0"/>
        </w:rPr>
        <w:t xml:space="preserve">Annex 1: Rates and Prices</w:t>
      </w:r>
    </w:p>
    <w:p w:rsidR="00000000" w:rsidDel="00000000" w:rsidP="00000000" w:rsidRDefault="00000000" w:rsidRPr="00000000" w14:paraId="00000029">
      <w:pPr>
        <w:keepNext w:val="1"/>
        <w:pBdr>
          <w:top w:space="0" w:sz="0" w:val="nil"/>
          <w:left w:space="0" w:sz="0" w:val="nil"/>
          <w:bottom w:space="0" w:sz="0" w:val="nil"/>
          <w:right w:space="0" w:sz="0" w:val="nil"/>
          <w:between w:space="0" w:sz="0" w:val="nil"/>
        </w:pBdr>
        <w:spacing w:after="240" w:before="24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Table 1: Time and Materials</w:t>
      </w:r>
    </w:p>
    <w:p w:rsidR="00000000" w:rsidDel="00000000" w:rsidP="00000000" w:rsidRDefault="00000000" w:rsidRPr="00000000" w14:paraId="0000002A">
      <w:pPr>
        <w:keepNext w:val="1"/>
        <w:pBdr>
          <w:top w:space="0" w:sz="0" w:val="nil"/>
          <w:left w:space="0" w:sz="0" w:val="nil"/>
          <w:bottom w:space="0" w:sz="0" w:val="nil"/>
          <w:right w:space="0" w:sz="0" w:val="nil"/>
          <w:between w:space="0" w:sz="0" w:val="nil"/>
        </w:pBdr>
        <w:spacing w:after="240" w:before="24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(and its Sub-Contractor) shall not be entitled to include any uplift for risks or contingencies within its day rates</w:t>
      </w:r>
    </w:p>
    <w:p w:rsidR="00000000" w:rsidDel="00000000" w:rsidP="00000000" w:rsidRDefault="00000000" w:rsidRPr="00000000" w14:paraId="0000002B">
      <w:pPr>
        <w:pBdr>
          <w:top w:space="0" w:sz="0" w:val="nil"/>
          <w:left w:space="0" w:sz="0" w:val="nil"/>
          <w:bottom w:space="0" w:sz="0" w:val="nil"/>
          <w:right w:space="0" w:sz="0" w:val="nil"/>
          <w:between w:space="0" w:sz="0" w:val="nil"/>
        </w:pBdr>
        <w:spacing w:after="120" w:before="24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rates below shall be subject to variation by way of Indexation.</w:t>
      </w:r>
    </w:p>
    <w:p w:rsidR="00000000" w:rsidDel="00000000" w:rsidP="00000000" w:rsidRDefault="00000000" w:rsidRPr="00000000" w14:paraId="0000002C">
      <w:pPr>
        <w:pBdr>
          <w:top w:space="0" w:sz="0" w:val="nil"/>
          <w:left w:space="0" w:sz="0" w:val="nil"/>
          <w:bottom w:space="0" w:sz="0" w:val="nil"/>
          <w:right w:space="0" w:sz="0" w:val="nil"/>
          <w:between w:space="0" w:sz="0" w:val="nil"/>
        </w:pBdr>
        <w:spacing w:after="120" w:before="24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below day rates will be used to calculate hourly rates by dividing the Day Rate by eight (8). The Supplier (and its Sub-Contractor) shall not be entitled to include any uplift for risks or contingencies within its hourly rates.</w:t>
      </w:r>
    </w:p>
    <w:p w:rsidR="00000000" w:rsidDel="00000000" w:rsidP="00000000" w:rsidRDefault="00000000" w:rsidRPr="00000000" w14:paraId="0000002D">
      <w:pPr>
        <w:pBdr>
          <w:top w:space="0" w:sz="0" w:val="nil"/>
          <w:left w:space="0" w:sz="0" w:val="nil"/>
          <w:bottom w:space="0" w:sz="0" w:val="nil"/>
          <w:right w:space="0" w:sz="0" w:val="nil"/>
          <w:between w:space="0" w:sz="0" w:val="nil"/>
        </w:pBdr>
        <w:spacing w:after="120" w:before="240" w:line="240" w:lineRule="auto"/>
        <w:rPr>
          <w:rFonts w:ascii="Arial" w:cs="Arial" w:eastAsia="Arial" w:hAnsi="Arial"/>
          <w:sz w:val="24"/>
          <w:szCs w:val="24"/>
          <w:u w:val="single"/>
        </w:rPr>
      </w:pPr>
      <w:r w:rsidDel="00000000" w:rsidR="00000000" w:rsidRPr="00000000">
        <w:rPr>
          <w:rFonts w:ascii="Arial" w:cs="Arial" w:eastAsia="Arial" w:hAnsi="Arial"/>
          <w:sz w:val="24"/>
          <w:szCs w:val="24"/>
          <w:u w:val="single"/>
          <w:rtl w:val="0"/>
        </w:rPr>
        <w:t xml:space="preserve">Lot 1</w:t>
      </w:r>
    </w:p>
    <w:tbl>
      <w:tblPr>
        <w:tblStyle w:val="Table1"/>
        <w:tblW w:w="897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530"/>
        <w:gridCol w:w="4440"/>
        <w:tblGridChange w:id="0">
          <w:tblGrid>
            <w:gridCol w:w="4530"/>
            <w:gridCol w:w="4440"/>
          </w:tblGrid>
        </w:tblGridChange>
      </w:tblGrid>
      <w:tr>
        <w:trPr>
          <w:cantSplit w:val="0"/>
          <w:trHeight w:val="645" w:hRule="atLeast"/>
          <w:tblHeader w:val="0"/>
        </w:trPr>
        <w:tc>
          <w:tcPr>
            <w:tcBorders>
              <w:top w:color="808080" w:space="0" w:sz="6" w:val="single"/>
              <w:left w:color="808080" w:space="0" w:sz="6" w:val="single"/>
              <w:bottom w:color="000000" w:space="0" w:sz="6" w:val="single"/>
              <w:right w:color="808080" w:space="0" w:sz="6" w:val="single"/>
            </w:tcBorders>
            <w:shd w:fill="548dd4" w:val="clear"/>
            <w:tcMar>
              <w:top w:w="0.0" w:type="dxa"/>
              <w:left w:w="120.0" w:type="dxa"/>
              <w:bottom w:w="0.0" w:type="dxa"/>
              <w:right w:w="100.0" w:type="dxa"/>
            </w:tcMar>
          </w:tcPr>
          <w:p w:rsidR="00000000" w:rsidDel="00000000" w:rsidP="00000000" w:rsidRDefault="00000000" w:rsidRPr="00000000" w14:paraId="0000002E">
            <w:pPr>
              <w:spacing w:after="120" w:before="240" w:lineRule="auto"/>
              <w:ind w:left="4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Staff Grade</w:t>
            </w:r>
          </w:p>
        </w:tc>
        <w:tc>
          <w:tcPr>
            <w:tcBorders>
              <w:top w:color="808080" w:space="0" w:sz="6" w:val="single"/>
              <w:left w:color="000000" w:space="0" w:sz="0" w:val="nil"/>
              <w:bottom w:color="000000" w:space="0" w:sz="6" w:val="single"/>
              <w:right w:color="808080" w:space="0" w:sz="6" w:val="single"/>
            </w:tcBorders>
            <w:shd w:fill="548dd4" w:val="clear"/>
            <w:tcMar>
              <w:top w:w="0.0" w:type="dxa"/>
              <w:left w:w="120.0" w:type="dxa"/>
              <w:bottom w:w="0.0" w:type="dxa"/>
              <w:right w:w="100.0" w:type="dxa"/>
            </w:tcMar>
          </w:tcPr>
          <w:p w:rsidR="00000000" w:rsidDel="00000000" w:rsidP="00000000" w:rsidRDefault="00000000" w:rsidRPr="00000000" w14:paraId="0000002F">
            <w:pPr>
              <w:spacing w:after="120" w:before="240" w:lineRule="auto"/>
              <w:ind w:left="4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Day Rate (£)</w:t>
            </w:r>
          </w:p>
        </w:tc>
      </w:tr>
      <w:tr>
        <w:trPr>
          <w:cantSplit w:val="0"/>
          <w:trHeight w:val="645" w:hRule="atLeast"/>
          <w:tblHeader w:val="0"/>
        </w:trPr>
        <w:tc>
          <w:tcPr>
            <w:tcBorders>
              <w:top w:color="000000" w:space="0" w:sz="0" w:val="nil"/>
              <w:left w:color="000000" w:space="0" w:sz="6" w:val="single"/>
              <w:bottom w:color="000000" w:space="0" w:sz="6" w:val="single"/>
              <w:right w:color="000000" w:space="0" w:sz="6" w:val="single"/>
            </w:tcBorders>
            <w:tcMar>
              <w:top w:w="0.0" w:type="dxa"/>
              <w:left w:w="120.0" w:type="dxa"/>
              <w:bottom w:w="0.0" w:type="dxa"/>
              <w:right w:w="100.0" w:type="dxa"/>
            </w:tcMar>
          </w:tcPr>
          <w:p w:rsidR="00000000" w:rsidDel="00000000" w:rsidP="00000000" w:rsidRDefault="00000000" w:rsidRPr="00000000" w14:paraId="00000030">
            <w:pPr>
              <w:spacing w:after="120" w:before="240" w:lineRule="auto"/>
              <w:ind w:left="-10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Core/Specialist - Partner</w:t>
            </w:r>
          </w:p>
        </w:tc>
        <w:tc>
          <w:tcPr>
            <w:tcBorders>
              <w:top w:color="000000" w:space="0" w:sz="0" w:val="nil"/>
              <w:left w:color="000000" w:space="0" w:sz="0" w:val="nil"/>
              <w:bottom w:color="000000" w:space="0" w:sz="6" w:val="single"/>
              <w:right w:color="000000" w:space="0" w:sz="6" w:val="single"/>
            </w:tcBorders>
            <w:tcMar>
              <w:top w:w="0.0" w:type="dxa"/>
              <w:left w:w="120.0" w:type="dxa"/>
              <w:bottom w:w="0.0" w:type="dxa"/>
              <w:right w:w="100.0" w:type="dxa"/>
            </w:tcMar>
          </w:tcPr>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Redacted under FOIA section 43, Commercial Interests</w:t>
            </w:r>
            <w:r w:rsidDel="00000000" w:rsidR="00000000" w:rsidRPr="00000000">
              <w:rPr>
                <w:rtl w:val="0"/>
              </w:rPr>
            </w:r>
          </w:p>
        </w:tc>
      </w:tr>
      <w:tr>
        <w:trPr>
          <w:cantSplit w:val="0"/>
          <w:trHeight w:val="645" w:hRule="atLeast"/>
          <w:tblHeader w:val="0"/>
        </w:trPr>
        <w:tc>
          <w:tcPr>
            <w:tcBorders>
              <w:top w:color="000000" w:space="0" w:sz="0" w:val="nil"/>
              <w:left w:color="000000" w:space="0" w:sz="6" w:val="single"/>
              <w:bottom w:color="000000" w:space="0" w:sz="6" w:val="single"/>
              <w:right w:color="000000" w:space="0" w:sz="6" w:val="single"/>
            </w:tcBorders>
            <w:tcMar>
              <w:top w:w="40.0" w:type="dxa"/>
              <w:left w:w="40.0" w:type="dxa"/>
              <w:bottom w:w="40.0" w:type="dxa"/>
              <w:right w:w="40.0" w:type="dxa"/>
            </w:tcMar>
          </w:tcPr>
          <w:p w:rsidR="00000000" w:rsidDel="00000000" w:rsidP="00000000" w:rsidRDefault="00000000" w:rsidRPr="00000000" w14:paraId="00000032">
            <w:pPr>
              <w:spacing w:after="240" w:before="240" w:lineRule="auto"/>
              <w:ind w:left="4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Core/Specialist - Director / Senior Audit   Manager</w:t>
            </w:r>
          </w:p>
        </w:tc>
        <w:tc>
          <w:tcPr>
            <w:tcBorders>
              <w:top w:color="000000" w:space="0" w:sz="0" w:val="nil"/>
              <w:left w:color="000000" w:space="0" w:sz="0" w:val="nil"/>
              <w:bottom w:color="000000" w:space="0" w:sz="6" w:val="single"/>
              <w:right w:color="000000" w:space="0" w:sz="6" w:val="single"/>
            </w:tcBorders>
            <w:tcMar>
              <w:top w:w="0.0" w:type="dxa"/>
              <w:left w:w="120.0" w:type="dxa"/>
              <w:bottom w:w="0.0" w:type="dxa"/>
              <w:right w:w="100.0" w:type="dxa"/>
            </w:tcMar>
          </w:tcPr>
          <w:p w:rsidR="00000000" w:rsidDel="00000000" w:rsidP="00000000" w:rsidRDefault="00000000" w:rsidRPr="00000000" w14:paraId="00000033">
            <w:pPr>
              <w:rPr/>
            </w:pPr>
            <w:r w:rsidDel="00000000" w:rsidR="00000000" w:rsidRPr="00000000">
              <w:rPr>
                <w:rFonts w:ascii="Arial" w:cs="Arial" w:eastAsia="Arial" w:hAnsi="Arial"/>
                <w:color w:val="000000"/>
                <w:rtl w:val="0"/>
              </w:rPr>
              <w:t xml:space="preserve">Redacted under FOIA section 43, Commercial Interests</w:t>
            </w:r>
            <w:r w:rsidDel="00000000" w:rsidR="00000000" w:rsidRPr="00000000">
              <w:rPr>
                <w:rtl w:val="0"/>
              </w:rPr>
            </w:r>
          </w:p>
        </w:tc>
      </w:tr>
      <w:tr>
        <w:trPr>
          <w:cantSplit w:val="0"/>
          <w:trHeight w:val="645" w:hRule="atLeast"/>
          <w:tblHeader w:val="0"/>
        </w:trPr>
        <w:tc>
          <w:tcPr>
            <w:tcBorders>
              <w:top w:color="000000" w:space="0" w:sz="0" w:val="nil"/>
              <w:left w:color="000000" w:space="0" w:sz="6" w:val="single"/>
              <w:bottom w:color="000000" w:space="0" w:sz="6" w:val="single"/>
              <w:right w:color="000000" w:space="0" w:sz="6" w:val="single"/>
            </w:tcBorders>
            <w:tcMar>
              <w:top w:w="40.0" w:type="dxa"/>
              <w:left w:w="40.0" w:type="dxa"/>
              <w:bottom w:w="40.0" w:type="dxa"/>
              <w:right w:w="40.0" w:type="dxa"/>
            </w:tcMar>
          </w:tcPr>
          <w:p w:rsidR="00000000" w:rsidDel="00000000" w:rsidP="00000000" w:rsidRDefault="00000000" w:rsidRPr="00000000" w14:paraId="00000034">
            <w:pPr>
              <w:spacing w:after="240" w:before="240" w:lineRule="auto"/>
              <w:ind w:left="4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Core/Specialist - Audit Manager</w:t>
            </w:r>
          </w:p>
        </w:tc>
        <w:tc>
          <w:tcPr>
            <w:tcBorders>
              <w:top w:color="000000" w:space="0" w:sz="0" w:val="nil"/>
              <w:left w:color="000000" w:space="0" w:sz="0" w:val="nil"/>
              <w:bottom w:color="000000" w:space="0" w:sz="6" w:val="single"/>
              <w:right w:color="000000" w:space="0" w:sz="6" w:val="single"/>
            </w:tcBorders>
            <w:tcMar>
              <w:top w:w="0.0" w:type="dxa"/>
              <w:left w:w="120.0" w:type="dxa"/>
              <w:bottom w:w="0.0" w:type="dxa"/>
              <w:right w:w="100.0" w:type="dxa"/>
            </w:tcMar>
          </w:tcPr>
          <w:p w:rsidR="00000000" w:rsidDel="00000000" w:rsidP="00000000" w:rsidRDefault="00000000" w:rsidRPr="00000000" w14:paraId="00000035">
            <w:pPr>
              <w:rPr/>
            </w:pPr>
            <w:r w:rsidDel="00000000" w:rsidR="00000000" w:rsidRPr="00000000">
              <w:rPr>
                <w:rFonts w:ascii="Arial" w:cs="Arial" w:eastAsia="Arial" w:hAnsi="Arial"/>
                <w:color w:val="000000"/>
                <w:rtl w:val="0"/>
              </w:rPr>
              <w:t xml:space="preserve">Redacted under FOIA section 43, Commercial Interests</w:t>
            </w:r>
            <w:r w:rsidDel="00000000" w:rsidR="00000000" w:rsidRPr="00000000">
              <w:rPr>
                <w:rtl w:val="0"/>
              </w:rPr>
            </w:r>
          </w:p>
        </w:tc>
      </w:tr>
      <w:tr>
        <w:trPr>
          <w:cantSplit w:val="0"/>
          <w:trHeight w:val="645" w:hRule="atLeast"/>
          <w:tblHeader w:val="0"/>
        </w:trPr>
        <w:tc>
          <w:tcPr>
            <w:tcBorders>
              <w:top w:color="000000" w:space="0" w:sz="0" w:val="nil"/>
              <w:left w:color="000000" w:space="0" w:sz="6" w:val="single"/>
              <w:bottom w:color="000000" w:space="0" w:sz="6" w:val="single"/>
              <w:right w:color="000000" w:space="0" w:sz="6" w:val="single"/>
            </w:tcBorders>
            <w:tcMar>
              <w:top w:w="40.0" w:type="dxa"/>
              <w:left w:w="40.0" w:type="dxa"/>
              <w:bottom w:w="40.0" w:type="dxa"/>
              <w:right w:w="40.0" w:type="dxa"/>
            </w:tcMar>
          </w:tcPr>
          <w:p w:rsidR="00000000" w:rsidDel="00000000" w:rsidP="00000000" w:rsidRDefault="00000000" w:rsidRPr="00000000" w14:paraId="00000036">
            <w:pPr>
              <w:spacing w:after="240" w:before="240" w:lineRule="auto"/>
              <w:ind w:left="4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Core/Specialist - Senior Auditor</w:t>
            </w:r>
          </w:p>
        </w:tc>
        <w:tc>
          <w:tcPr>
            <w:tcBorders>
              <w:top w:color="000000" w:space="0" w:sz="0" w:val="nil"/>
              <w:left w:color="000000" w:space="0" w:sz="0" w:val="nil"/>
              <w:bottom w:color="000000" w:space="0" w:sz="6" w:val="single"/>
              <w:right w:color="000000" w:space="0" w:sz="6" w:val="single"/>
            </w:tcBorders>
            <w:tcMar>
              <w:top w:w="0.0" w:type="dxa"/>
              <w:left w:w="120.0" w:type="dxa"/>
              <w:bottom w:w="0.0" w:type="dxa"/>
              <w:right w:w="100.0" w:type="dxa"/>
            </w:tcMar>
          </w:tcPr>
          <w:p w:rsidR="00000000" w:rsidDel="00000000" w:rsidP="00000000" w:rsidRDefault="00000000" w:rsidRPr="00000000" w14:paraId="00000037">
            <w:pPr>
              <w:rPr/>
            </w:pPr>
            <w:r w:rsidDel="00000000" w:rsidR="00000000" w:rsidRPr="00000000">
              <w:rPr>
                <w:rFonts w:ascii="Arial" w:cs="Arial" w:eastAsia="Arial" w:hAnsi="Arial"/>
                <w:color w:val="000000"/>
                <w:rtl w:val="0"/>
              </w:rPr>
              <w:t xml:space="preserve">Redacted under FOIA section 43, Commercial Interests</w:t>
            </w:r>
            <w:r w:rsidDel="00000000" w:rsidR="00000000" w:rsidRPr="00000000">
              <w:rPr>
                <w:rtl w:val="0"/>
              </w:rPr>
            </w:r>
          </w:p>
        </w:tc>
      </w:tr>
      <w:tr>
        <w:trPr>
          <w:cantSplit w:val="0"/>
          <w:trHeight w:val="645" w:hRule="atLeast"/>
          <w:tblHeader w:val="0"/>
        </w:trPr>
        <w:tc>
          <w:tcPr>
            <w:tcBorders>
              <w:top w:color="000000" w:space="0" w:sz="0" w:val="nil"/>
              <w:left w:color="000000" w:space="0" w:sz="6" w:val="single"/>
              <w:bottom w:color="000000" w:space="0" w:sz="6" w:val="single"/>
              <w:right w:color="000000" w:space="0" w:sz="6" w:val="single"/>
            </w:tcBorders>
            <w:tcMar>
              <w:top w:w="40.0" w:type="dxa"/>
              <w:left w:w="40.0" w:type="dxa"/>
              <w:bottom w:w="40.0" w:type="dxa"/>
              <w:right w:w="40.0" w:type="dxa"/>
            </w:tcMar>
          </w:tcPr>
          <w:p w:rsidR="00000000" w:rsidDel="00000000" w:rsidP="00000000" w:rsidRDefault="00000000" w:rsidRPr="00000000" w14:paraId="00000038">
            <w:pPr>
              <w:spacing w:after="240" w:before="240" w:lineRule="auto"/>
              <w:ind w:left="4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Core/Specialist - Auditor</w:t>
            </w:r>
          </w:p>
        </w:tc>
        <w:tc>
          <w:tcPr>
            <w:tcBorders>
              <w:top w:color="000000" w:space="0" w:sz="0" w:val="nil"/>
              <w:left w:color="000000" w:space="0" w:sz="0" w:val="nil"/>
              <w:bottom w:color="000000" w:space="0" w:sz="6" w:val="single"/>
              <w:right w:color="000000" w:space="0" w:sz="6" w:val="single"/>
            </w:tcBorders>
            <w:tcMar>
              <w:top w:w="0.0" w:type="dxa"/>
              <w:left w:w="120.0" w:type="dxa"/>
              <w:bottom w:w="0.0" w:type="dxa"/>
              <w:right w:w="100.0" w:type="dxa"/>
            </w:tcMar>
          </w:tcPr>
          <w:p w:rsidR="00000000" w:rsidDel="00000000" w:rsidP="00000000" w:rsidRDefault="00000000" w:rsidRPr="00000000" w14:paraId="00000039">
            <w:pPr>
              <w:rPr/>
            </w:pPr>
            <w:r w:rsidDel="00000000" w:rsidR="00000000" w:rsidRPr="00000000">
              <w:rPr>
                <w:rFonts w:ascii="Arial" w:cs="Arial" w:eastAsia="Arial" w:hAnsi="Arial"/>
                <w:color w:val="000000"/>
                <w:rtl w:val="0"/>
              </w:rPr>
              <w:t xml:space="preserve">Redacted under FOIA section 43, Commercial Interests</w:t>
            </w:r>
            <w:r w:rsidDel="00000000" w:rsidR="00000000" w:rsidRPr="00000000">
              <w:rPr>
                <w:rtl w:val="0"/>
              </w:rPr>
            </w:r>
          </w:p>
        </w:tc>
      </w:tr>
      <w:tr>
        <w:trPr>
          <w:cantSplit w:val="0"/>
          <w:trHeight w:val="645" w:hRule="atLeast"/>
          <w:tblHeader w:val="0"/>
        </w:trPr>
        <w:tc>
          <w:tcPr>
            <w:tcBorders>
              <w:top w:color="000000" w:space="0" w:sz="0" w:val="nil"/>
              <w:left w:color="000000" w:space="0" w:sz="6" w:val="single"/>
              <w:bottom w:color="000000" w:space="0" w:sz="6" w:val="single"/>
              <w:right w:color="000000" w:space="0" w:sz="6" w:val="single"/>
            </w:tcBorders>
            <w:tcMar>
              <w:top w:w="40.0" w:type="dxa"/>
              <w:left w:w="40.0" w:type="dxa"/>
              <w:bottom w:w="40.0" w:type="dxa"/>
              <w:right w:w="40.0" w:type="dxa"/>
            </w:tcMar>
          </w:tcPr>
          <w:p w:rsidR="00000000" w:rsidDel="00000000" w:rsidP="00000000" w:rsidRDefault="00000000" w:rsidRPr="00000000" w14:paraId="0000003A">
            <w:pPr>
              <w:spacing w:after="240" w:before="240" w:lineRule="auto"/>
              <w:ind w:left="4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Core/Specialist - Trainee Auditor / Analyst</w:t>
            </w:r>
          </w:p>
        </w:tc>
        <w:tc>
          <w:tcPr>
            <w:tcBorders>
              <w:top w:color="000000" w:space="0" w:sz="0" w:val="nil"/>
              <w:left w:color="000000" w:space="0" w:sz="0" w:val="nil"/>
              <w:bottom w:color="000000" w:space="0" w:sz="6" w:val="single"/>
              <w:right w:color="000000" w:space="0" w:sz="6" w:val="single"/>
            </w:tcBorders>
            <w:tcMar>
              <w:top w:w="0.0" w:type="dxa"/>
              <w:left w:w="120.0" w:type="dxa"/>
              <w:bottom w:w="0.0" w:type="dxa"/>
              <w:right w:w="100.0" w:type="dxa"/>
            </w:tcMar>
          </w:tcPr>
          <w:p w:rsidR="00000000" w:rsidDel="00000000" w:rsidP="00000000" w:rsidRDefault="00000000" w:rsidRPr="00000000" w14:paraId="0000003B">
            <w:pPr>
              <w:rPr/>
            </w:pPr>
            <w:r w:rsidDel="00000000" w:rsidR="00000000" w:rsidRPr="00000000">
              <w:rPr>
                <w:rFonts w:ascii="Arial" w:cs="Arial" w:eastAsia="Arial" w:hAnsi="Arial"/>
                <w:color w:val="000000"/>
                <w:rtl w:val="0"/>
              </w:rPr>
              <w:t xml:space="preserve">Redacted under FOIA section 43, Commercial Interests</w:t>
            </w:r>
            <w:r w:rsidDel="00000000" w:rsidR="00000000" w:rsidRPr="00000000">
              <w:rPr>
                <w:rtl w:val="0"/>
              </w:rPr>
            </w:r>
          </w:p>
        </w:tc>
      </w:tr>
    </w:tbl>
    <w:p w:rsidR="00000000" w:rsidDel="00000000" w:rsidP="00000000" w:rsidRDefault="00000000" w:rsidRPr="00000000" w14:paraId="0000003C">
      <w:pPr>
        <w:spacing w:after="120" w:before="240" w:lineRule="auto"/>
        <w:rPr>
          <w:rFonts w:ascii="Arial" w:cs="Arial" w:eastAsia="Arial" w:hAnsi="Arial"/>
          <w:sz w:val="24"/>
          <w:szCs w:val="24"/>
          <w:u w:val="single"/>
        </w:rPr>
      </w:pPr>
      <w:r w:rsidDel="00000000" w:rsidR="00000000" w:rsidRPr="00000000">
        <w:rPr>
          <w:rFonts w:ascii="Arial" w:cs="Arial" w:eastAsia="Arial" w:hAnsi="Arial"/>
          <w:sz w:val="24"/>
          <w:szCs w:val="24"/>
          <w:u w:val="single"/>
          <w:rtl w:val="0"/>
        </w:rPr>
        <w:t xml:space="preserve">Lot 2 and 4</w:t>
      </w:r>
    </w:p>
    <w:tbl>
      <w:tblPr>
        <w:tblStyle w:val="Table2"/>
        <w:tblW w:w="897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485"/>
        <w:gridCol w:w="4485"/>
        <w:tblGridChange w:id="0">
          <w:tblGrid>
            <w:gridCol w:w="4485"/>
            <w:gridCol w:w="4485"/>
          </w:tblGrid>
        </w:tblGridChange>
      </w:tblGrid>
      <w:tr>
        <w:trPr>
          <w:cantSplit w:val="0"/>
          <w:trHeight w:val="645" w:hRule="atLeast"/>
          <w:tblHeader w:val="0"/>
        </w:trPr>
        <w:tc>
          <w:tcPr>
            <w:tcBorders>
              <w:top w:color="808080" w:space="0" w:sz="6" w:val="single"/>
              <w:left w:color="808080" w:space="0" w:sz="6" w:val="single"/>
              <w:bottom w:color="000000" w:space="0" w:sz="6" w:val="single"/>
              <w:right w:color="808080" w:space="0" w:sz="6" w:val="single"/>
            </w:tcBorders>
            <w:shd w:fill="548dd4" w:val="clear"/>
            <w:tcMar>
              <w:top w:w="0.0" w:type="dxa"/>
              <w:left w:w="120.0" w:type="dxa"/>
              <w:bottom w:w="0.0" w:type="dxa"/>
              <w:right w:w="100.0" w:type="dxa"/>
            </w:tcMar>
          </w:tcPr>
          <w:p w:rsidR="00000000" w:rsidDel="00000000" w:rsidP="00000000" w:rsidRDefault="00000000" w:rsidRPr="00000000" w14:paraId="0000003D">
            <w:pPr>
              <w:spacing w:after="120" w:before="240" w:lineRule="auto"/>
              <w:ind w:left="4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Staff Grade</w:t>
            </w:r>
          </w:p>
        </w:tc>
        <w:tc>
          <w:tcPr>
            <w:tcBorders>
              <w:top w:color="808080" w:space="0" w:sz="6" w:val="single"/>
              <w:left w:color="000000" w:space="0" w:sz="0" w:val="nil"/>
              <w:bottom w:color="000000" w:space="0" w:sz="6" w:val="single"/>
              <w:right w:color="808080" w:space="0" w:sz="6" w:val="single"/>
            </w:tcBorders>
            <w:shd w:fill="548dd4" w:val="clear"/>
            <w:tcMar>
              <w:top w:w="0.0" w:type="dxa"/>
              <w:left w:w="120.0" w:type="dxa"/>
              <w:bottom w:w="0.0" w:type="dxa"/>
              <w:right w:w="100.0" w:type="dxa"/>
            </w:tcMar>
          </w:tcPr>
          <w:p w:rsidR="00000000" w:rsidDel="00000000" w:rsidP="00000000" w:rsidRDefault="00000000" w:rsidRPr="00000000" w14:paraId="0000003E">
            <w:pPr>
              <w:spacing w:after="120" w:before="240" w:lineRule="auto"/>
              <w:ind w:left="4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Day Rate (£)</w:t>
            </w:r>
          </w:p>
        </w:tc>
      </w:tr>
      <w:tr>
        <w:trPr>
          <w:cantSplit w:val="0"/>
          <w:trHeight w:val="645" w:hRule="atLeast"/>
          <w:tblHeader w:val="0"/>
        </w:trPr>
        <w:tc>
          <w:tcPr>
            <w:tcBorders>
              <w:top w:color="000000" w:space="0" w:sz="0" w:val="nil"/>
              <w:left w:color="000000" w:space="0" w:sz="6" w:val="single"/>
              <w:bottom w:color="000000" w:space="0" w:sz="6" w:val="single"/>
              <w:right w:color="000000" w:space="0" w:sz="6" w:val="single"/>
            </w:tcBorders>
            <w:tcMar>
              <w:top w:w="0.0" w:type="dxa"/>
              <w:left w:w="120.0" w:type="dxa"/>
              <w:bottom w:w="0.0" w:type="dxa"/>
              <w:right w:w="100.0" w:type="dxa"/>
            </w:tcMar>
          </w:tcPr>
          <w:p w:rsidR="00000000" w:rsidDel="00000000" w:rsidP="00000000" w:rsidRDefault="00000000" w:rsidRPr="00000000" w14:paraId="0000003F">
            <w:pPr>
              <w:spacing w:after="120" w:before="240" w:lineRule="auto"/>
              <w:ind w:left="-10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Partner</w:t>
            </w:r>
          </w:p>
        </w:tc>
        <w:tc>
          <w:tcPr>
            <w:tcBorders>
              <w:top w:color="000000" w:space="0" w:sz="0" w:val="nil"/>
              <w:left w:color="000000" w:space="0" w:sz="0" w:val="nil"/>
              <w:bottom w:color="000000" w:space="0" w:sz="6" w:val="single"/>
              <w:right w:color="000000" w:space="0" w:sz="6" w:val="single"/>
            </w:tcBorders>
            <w:tcMar>
              <w:top w:w="0.0" w:type="dxa"/>
              <w:left w:w="120.0" w:type="dxa"/>
              <w:bottom w:w="0.0" w:type="dxa"/>
              <w:right w:w="100.0" w:type="dxa"/>
            </w:tcMar>
          </w:tcPr>
          <w:p w:rsidR="00000000" w:rsidDel="00000000" w:rsidP="00000000" w:rsidRDefault="00000000" w:rsidRPr="00000000" w14:paraId="00000040">
            <w:pPr>
              <w:rPr/>
            </w:pPr>
            <w:r w:rsidDel="00000000" w:rsidR="00000000" w:rsidRPr="00000000">
              <w:rPr>
                <w:rFonts w:ascii="Arial" w:cs="Arial" w:eastAsia="Arial" w:hAnsi="Arial"/>
                <w:color w:val="000000"/>
                <w:rtl w:val="0"/>
              </w:rPr>
              <w:t xml:space="preserve">Redacted under FOIA section 43, Commercial Interests</w:t>
            </w:r>
            <w:r w:rsidDel="00000000" w:rsidR="00000000" w:rsidRPr="00000000">
              <w:rPr>
                <w:rtl w:val="0"/>
              </w:rPr>
            </w:r>
          </w:p>
        </w:tc>
      </w:tr>
      <w:tr>
        <w:trPr>
          <w:cantSplit w:val="0"/>
          <w:trHeight w:val="645" w:hRule="atLeast"/>
          <w:tblHeader w:val="0"/>
        </w:trPr>
        <w:tc>
          <w:tcPr>
            <w:tcBorders>
              <w:top w:color="000000" w:space="0" w:sz="0" w:val="nil"/>
              <w:left w:color="000000" w:space="0" w:sz="6" w:val="single"/>
              <w:bottom w:color="000000" w:space="0" w:sz="6" w:val="single"/>
              <w:right w:color="000000" w:space="0" w:sz="6" w:val="single"/>
            </w:tcBorders>
            <w:tcMar>
              <w:top w:w="40.0" w:type="dxa"/>
              <w:left w:w="40.0" w:type="dxa"/>
              <w:bottom w:w="40.0" w:type="dxa"/>
              <w:right w:w="40.0" w:type="dxa"/>
            </w:tcMar>
          </w:tcPr>
          <w:p w:rsidR="00000000" w:rsidDel="00000000" w:rsidP="00000000" w:rsidRDefault="00000000" w:rsidRPr="00000000" w14:paraId="00000041">
            <w:pPr>
              <w:spacing w:after="0" w:before="240" w:lineRule="auto"/>
              <w:ind w:left="-10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 Director / Senior Audit Manager</w:t>
            </w:r>
          </w:p>
        </w:tc>
        <w:tc>
          <w:tcPr>
            <w:tcBorders>
              <w:top w:color="000000" w:space="0" w:sz="0" w:val="nil"/>
              <w:left w:color="000000" w:space="0" w:sz="0" w:val="nil"/>
              <w:bottom w:color="000000" w:space="0" w:sz="6" w:val="single"/>
              <w:right w:color="000000" w:space="0" w:sz="6" w:val="single"/>
            </w:tcBorders>
            <w:tcMar>
              <w:top w:w="0.0" w:type="dxa"/>
              <w:left w:w="120.0" w:type="dxa"/>
              <w:bottom w:w="0.0" w:type="dxa"/>
              <w:right w:w="100.0" w:type="dxa"/>
            </w:tcMar>
          </w:tcPr>
          <w:p w:rsidR="00000000" w:rsidDel="00000000" w:rsidP="00000000" w:rsidRDefault="00000000" w:rsidRPr="00000000" w14:paraId="00000042">
            <w:pPr>
              <w:rPr/>
            </w:pPr>
            <w:r w:rsidDel="00000000" w:rsidR="00000000" w:rsidRPr="00000000">
              <w:rPr>
                <w:rFonts w:ascii="Arial" w:cs="Arial" w:eastAsia="Arial" w:hAnsi="Arial"/>
                <w:color w:val="000000"/>
                <w:rtl w:val="0"/>
              </w:rPr>
              <w:t xml:space="preserve">Redacted under FOIA section 43, Commercial Interests</w:t>
            </w:r>
            <w:r w:rsidDel="00000000" w:rsidR="00000000" w:rsidRPr="00000000">
              <w:rPr>
                <w:rtl w:val="0"/>
              </w:rPr>
            </w:r>
          </w:p>
        </w:tc>
      </w:tr>
      <w:tr>
        <w:trPr>
          <w:cantSplit w:val="0"/>
          <w:trHeight w:val="645" w:hRule="atLeast"/>
          <w:tblHeader w:val="0"/>
        </w:trPr>
        <w:tc>
          <w:tcPr>
            <w:tcBorders>
              <w:top w:color="000000" w:space="0" w:sz="0" w:val="nil"/>
              <w:left w:color="000000" w:space="0" w:sz="6" w:val="single"/>
              <w:bottom w:color="000000" w:space="0" w:sz="6" w:val="single"/>
              <w:right w:color="000000" w:space="0" w:sz="6" w:val="single"/>
            </w:tcBorders>
            <w:tcMar>
              <w:top w:w="40.0" w:type="dxa"/>
              <w:left w:w="40.0" w:type="dxa"/>
              <w:bottom w:w="40.0" w:type="dxa"/>
              <w:right w:w="40.0" w:type="dxa"/>
            </w:tcMar>
          </w:tcPr>
          <w:p w:rsidR="00000000" w:rsidDel="00000000" w:rsidP="00000000" w:rsidRDefault="00000000" w:rsidRPr="00000000" w14:paraId="00000043">
            <w:pPr>
              <w:spacing w:after="0" w:lineRule="auto"/>
              <w:ind w:left="4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Audit Manager</w:t>
            </w:r>
          </w:p>
        </w:tc>
        <w:tc>
          <w:tcPr>
            <w:tcBorders>
              <w:top w:color="000000" w:space="0" w:sz="0" w:val="nil"/>
              <w:left w:color="000000" w:space="0" w:sz="0" w:val="nil"/>
              <w:bottom w:color="000000" w:space="0" w:sz="6" w:val="single"/>
              <w:right w:color="000000" w:space="0" w:sz="6" w:val="single"/>
            </w:tcBorders>
            <w:tcMar>
              <w:top w:w="0.0" w:type="dxa"/>
              <w:left w:w="120.0" w:type="dxa"/>
              <w:bottom w:w="0.0" w:type="dxa"/>
              <w:right w:w="100.0" w:type="dxa"/>
            </w:tcMar>
          </w:tcPr>
          <w:p w:rsidR="00000000" w:rsidDel="00000000" w:rsidP="00000000" w:rsidRDefault="00000000" w:rsidRPr="00000000" w14:paraId="00000044">
            <w:pPr>
              <w:rPr/>
            </w:pPr>
            <w:r w:rsidDel="00000000" w:rsidR="00000000" w:rsidRPr="00000000">
              <w:rPr>
                <w:rFonts w:ascii="Arial" w:cs="Arial" w:eastAsia="Arial" w:hAnsi="Arial"/>
                <w:color w:val="000000"/>
                <w:rtl w:val="0"/>
              </w:rPr>
              <w:t xml:space="preserve">Redacted under FOIA section 43, Commercial Interests</w:t>
            </w:r>
            <w:r w:rsidDel="00000000" w:rsidR="00000000" w:rsidRPr="00000000">
              <w:rPr>
                <w:rtl w:val="0"/>
              </w:rPr>
            </w:r>
          </w:p>
        </w:tc>
      </w:tr>
      <w:tr>
        <w:trPr>
          <w:cantSplit w:val="0"/>
          <w:trHeight w:val="645" w:hRule="atLeast"/>
          <w:tblHeader w:val="0"/>
        </w:trPr>
        <w:tc>
          <w:tcPr>
            <w:tcBorders>
              <w:top w:color="000000" w:space="0" w:sz="0" w:val="nil"/>
              <w:left w:color="000000" w:space="0" w:sz="6" w:val="single"/>
              <w:bottom w:color="000000" w:space="0" w:sz="6" w:val="single"/>
              <w:right w:color="000000" w:space="0" w:sz="6" w:val="single"/>
            </w:tcBorders>
            <w:tcMar>
              <w:top w:w="40.0" w:type="dxa"/>
              <w:left w:w="40.0" w:type="dxa"/>
              <w:bottom w:w="40.0" w:type="dxa"/>
              <w:right w:w="40.0" w:type="dxa"/>
            </w:tcMar>
          </w:tcPr>
          <w:p w:rsidR="00000000" w:rsidDel="00000000" w:rsidP="00000000" w:rsidRDefault="00000000" w:rsidRPr="00000000" w14:paraId="00000045">
            <w:pPr>
              <w:spacing w:after="0" w:lineRule="auto"/>
              <w:ind w:left="4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Senior Auditor</w:t>
            </w:r>
          </w:p>
        </w:tc>
        <w:tc>
          <w:tcPr>
            <w:tcBorders>
              <w:top w:color="000000" w:space="0" w:sz="0" w:val="nil"/>
              <w:left w:color="000000" w:space="0" w:sz="0" w:val="nil"/>
              <w:bottom w:color="000000" w:space="0" w:sz="6" w:val="single"/>
              <w:right w:color="000000" w:space="0" w:sz="6" w:val="single"/>
            </w:tcBorders>
            <w:tcMar>
              <w:top w:w="0.0" w:type="dxa"/>
              <w:left w:w="120.0" w:type="dxa"/>
              <w:bottom w:w="0.0" w:type="dxa"/>
              <w:right w:w="100.0" w:type="dxa"/>
            </w:tcMar>
          </w:tcPr>
          <w:p w:rsidR="00000000" w:rsidDel="00000000" w:rsidP="00000000" w:rsidRDefault="00000000" w:rsidRPr="00000000" w14:paraId="00000046">
            <w:pPr>
              <w:rPr/>
            </w:pPr>
            <w:r w:rsidDel="00000000" w:rsidR="00000000" w:rsidRPr="00000000">
              <w:rPr>
                <w:rFonts w:ascii="Arial" w:cs="Arial" w:eastAsia="Arial" w:hAnsi="Arial"/>
                <w:color w:val="000000"/>
                <w:rtl w:val="0"/>
              </w:rPr>
              <w:t xml:space="preserve">Redacted under FOIA section 43, Commercial Interests</w:t>
            </w:r>
            <w:r w:rsidDel="00000000" w:rsidR="00000000" w:rsidRPr="00000000">
              <w:rPr>
                <w:rtl w:val="0"/>
              </w:rPr>
            </w:r>
          </w:p>
        </w:tc>
      </w:tr>
      <w:tr>
        <w:trPr>
          <w:cantSplit w:val="0"/>
          <w:trHeight w:val="645" w:hRule="atLeast"/>
          <w:tblHeader w:val="0"/>
        </w:trPr>
        <w:tc>
          <w:tcPr>
            <w:tcBorders>
              <w:top w:color="000000" w:space="0" w:sz="0" w:val="nil"/>
              <w:left w:color="000000" w:space="0" w:sz="6" w:val="single"/>
              <w:bottom w:color="000000" w:space="0" w:sz="6" w:val="single"/>
              <w:right w:color="000000" w:space="0" w:sz="6" w:val="single"/>
            </w:tcBorders>
            <w:tcMar>
              <w:top w:w="40.0" w:type="dxa"/>
              <w:left w:w="40.0" w:type="dxa"/>
              <w:bottom w:w="40.0" w:type="dxa"/>
              <w:right w:w="40.0" w:type="dxa"/>
            </w:tcMar>
          </w:tcPr>
          <w:p w:rsidR="00000000" w:rsidDel="00000000" w:rsidP="00000000" w:rsidRDefault="00000000" w:rsidRPr="00000000" w14:paraId="00000047">
            <w:pPr>
              <w:spacing w:after="0" w:lineRule="auto"/>
              <w:ind w:left="4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Auditor</w:t>
            </w:r>
          </w:p>
        </w:tc>
        <w:tc>
          <w:tcPr>
            <w:tcBorders>
              <w:top w:color="000000" w:space="0" w:sz="0" w:val="nil"/>
              <w:left w:color="000000" w:space="0" w:sz="0" w:val="nil"/>
              <w:bottom w:color="000000" w:space="0" w:sz="6" w:val="single"/>
              <w:right w:color="000000" w:space="0" w:sz="6" w:val="single"/>
            </w:tcBorders>
            <w:tcMar>
              <w:top w:w="0.0" w:type="dxa"/>
              <w:left w:w="120.0" w:type="dxa"/>
              <w:bottom w:w="0.0" w:type="dxa"/>
              <w:right w:w="100.0" w:type="dxa"/>
            </w:tcMar>
          </w:tcPr>
          <w:p w:rsidR="00000000" w:rsidDel="00000000" w:rsidP="00000000" w:rsidRDefault="00000000" w:rsidRPr="00000000" w14:paraId="00000048">
            <w:pPr>
              <w:rPr/>
            </w:pPr>
            <w:r w:rsidDel="00000000" w:rsidR="00000000" w:rsidRPr="00000000">
              <w:rPr>
                <w:rFonts w:ascii="Arial" w:cs="Arial" w:eastAsia="Arial" w:hAnsi="Arial"/>
                <w:color w:val="000000"/>
                <w:rtl w:val="0"/>
              </w:rPr>
              <w:t xml:space="preserve">Redacted under FOIA section 43, Commercial Interests</w:t>
            </w:r>
            <w:r w:rsidDel="00000000" w:rsidR="00000000" w:rsidRPr="00000000">
              <w:rPr>
                <w:rtl w:val="0"/>
              </w:rPr>
            </w:r>
          </w:p>
        </w:tc>
      </w:tr>
      <w:tr>
        <w:trPr>
          <w:cantSplit w:val="0"/>
          <w:trHeight w:val="645" w:hRule="atLeast"/>
          <w:tblHeader w:val="0"/>
        </w:trPr>
        <w:tc>
          <w:tcPr>
            <w:tcBorders>
              <w:top w:color="000000" w:space="0" w:sz="0" w:val="nil"/>
              <w:left w:color="000000" w:space="0" w:sz="6" w:val="single"/>
              <w:bottom w:color="000000" w:space="0" w:sz="6" w:val="single"/>
              <w:right w:color="000000" w:space="0" w:sz="6" w:val="single"/>
            </w:tcBorders>
            <w:tcMar>
              <w:top w:w="40.0" w:type="dxa"/>
              <w:left w:w="40.0" w:type="dxa"/>
              <w:bottom w:w="40.0" w:type="dxa"/>
              <w:right w:w="40.0" w:type="dxa"/>
            </w:tcMar>
          </w:tcPr>
          <w:p w:rsidR="00000000" w:rsidDel="00000000" w:rsidP="00000000" w:rsidRDefault="00000000" w:rsidRPr="00000000" w14:paraId="00000049">
            <w:pPr>
              <w:spacing w:after="0" w:lineRule="auto"/>
              <w:ind w:left="4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Trainee Auditor / Analyst</w:t>
            </w:r>
          </w:p>
        </w:tc>
        <w:tc>
          <w:tcPr>
            <w:tcBorders>
              <w:top w:color="000000" w:space="0" w:sz="0" w:val="nil"/>
              <w:left w:color="000000" w:space="0" w:sz="0" w:val="nil"/>
              <w:bottom w:color="000000" w:space="0" w:sz="6" w:val="single"/>
              <w:right w:color="000000" w:space="0" w:sz="6" w:val="single"/>
            </w:tcBorders>
            <w:tcMar>
              <w:top w:w="0.0" w:type="dxa"/>
              <w:left w:w="120.0" w:type="dxa"/>
              <w:bottom w:w="0.0" w:type="dxa"/>
              <w:right w:w="100.0" w:type="dxa"/>
            </w:tcMar>
          </w:tcPr>
          <w:p w:rsidR="00000000" w:rsidDel="00000000" w:rsidP="00000000" w:rsidRDefault="00000000" w:rsidRPr="00000000" w14:paraId="0000004A">
            <w:pPr>
              <w:rPr/>
            </w:pPr>
            <w:r w:rsidDel="00000000" w:rsidR="00000000" w:rsidRPr="00000000">
              <w:rPr>
                <w:rFonts w:ascii="Arial" w:cs="Arial" w:eastAsia="Arial" w:hAnsi="Arial"/>
                <w:color w:val="000000"/>
                <w:rtl w:val="0"/>
              </w:rPr>
              <w:t xml:space="preserve">Redacted under FOIA section 43, Commercial Interests</w:t>
            </w:r>
            <w:r w:rsidDel="00000000" w:rsidR="00000000" w:rsidRPr="00000000">
              <w:rPr>
                <w:rtl w:val="0"/>
              </w:rPr>
            </w:r>
          </w:p>
        </w:tc>
      </w:tr>
    </w:tbl>
    <w:p w:rsidR="00000000" w:rsidDel="00000000" w:rsidP="00000000" w:rsidRDefault="00000000" w:rsidRPr="00000000" w14:paraId="0000004B">
      <w:pPr>
        <w:spacing w:after="120" w:before="240" w:lineRule="auto"/>
        <w:rPr>
          <w:rFonts w:ascii="Arial" w:cs="Arial" w:eastAsia="Arial" w:hAnsi="Arial"/>
          <w:sz w:val="24"/>
          <w:szCs w:val="24"/>
          <w:u w:val="single"/>
        </w:rPr>
      </w:pPr>
      <w:r w:rsidDel="00000000" w:rsidR="00000000" w:rsidRPr="00000000">
        <w:rPr>
          <w:rFonts w:ascii="Arial" w:cs="Arial" w:eastAsia="Arial" w:hAnsi="Arial"/>
          <w:sz w:val="24"/>
          <w:szCs w:val="24"/>
          <w:u w:val="single"/>
          <w:rtl w:val="0"/>
        </w:rPr>
        <w:t xml:space="preserve">Lot 3</w:t>
      </w:r>
    </w:p>
    <w:tbl>
      <w:tblPr>
        <w:tblStyle w:val="Table3"/>
        <w:tblW w:w="897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545"/>
        <w:gridCol w:w="4425"/>
        <w:tblGridChange w:id="0">
          <w:tblGrid>
            <w:gridCol w:w="4545"/>
            <w:gridCol w:w="4425"/>
          </w:tblGrid>
        </w:tblGridChange>
      </w:tblGrid>
      <w:tr>
        <w:trPr>
          <w:cantSplit w:val="0"/>
          <w:trHeight w:val="645" w:hRule="atLeast"/>
          <w:tblHeader w:val="0"/>
        </w:trPr>
        <w:tc>
          <w:tcPr>
            <w:tcBorders>
              <w:top w:color="808080" w:space="0" w:sz="6" w:val="single"/>
              <w:left w:color="808080" w:space="0" w:sz="6" w:val="single"/>
              <w:bottom w:color="000000" w:space="0" w:sz="6" w:val="single"/>
              <w:right w:color="808080" w:space="0" w:sz="6" w:val="single"/>
            </w:tcBorders>
            <w:shd w:fill="548dd4" w:val="clear"/>
            <w:tcMar>
              <w:top w:w="0.0" w:type="dxa"/>
              <w:left w:w="120.0" w:type="dxa"/>
              <w:bottom w:w="0.0" w:type="dxa"/>
              <w:right w:w="100.0" w:type="dxa"/>
            </w:tcMar>
          </w:tcPr>
          <w:p w:rsidR="00000000" w:rsidDel="00000000" w:rsidP="00000000" w:rsidRDefault="00000000" w:rsidRPr="00000000" w14:paraId="0000004C">
            <w:pPr>
              <w:spacing w:after="120" w:before="240" w:lineRule="auto"/>
              <w:ind w:left="4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Staff Grade</w:t>
            </w:r>
          </w:p>
        </w:tc>
        <w:tc>
          <w:tcPr>
            <w:tcBorders>
              <w:top w:color="808080" w:space="0" w:sz="6" w:val="single"/>
              <w:left w:color="000000" w:space="0" w:sz="0" w:val="nil"/>
              <w:bottom w:color="000000" w:space="0" w:sz="6" w:val="single"/>
              <w:right w:color="808080" w:space="0" w:sz="6" w:val="single"/>
            </w:tcBorders>
            <w:shd w:fill="548dd4" w:val="clear"/>
            <w:tcMar>
              <w:top w:w="0.0" w:type="dxa"/>
              <w:left w:w="120.0" w:type="dxa"/>
              <w:bottom w:w="0.0" w:type="dxa"/>
              <w:right w:w="100.0" w:type="dxa"/>
            </w:tcMar>
          </w:tcPr>
          <w:p w:rsidR="00000000" w:rsidDel="00000000" w:rsidP="00000000" w:rsidRDefault="00000000" w:rsidRPr="00000000" w14:paraId="0000004D">
            <w:pPr>
              <w:spacing w:after="120" w:before="240" w:lineRule="auto"/>
              <w:ind w:left="4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Day Rate (£)</w:t>
            </w:r>
          </w:p>
        </w:tc>
      </w:tr>
      <w:tr>
        <w:trPr>
          <w:cantSplit w:val="0"/>
          <w:trHeight w:val="645" w:hRule="atLeast"/>
          <w:tblHeader w:val="0"/>
        </w:trPr>
        <w:tc>
          <w:tcPr>
            <w:tcBorders>
              <w:top w:color="000000" w:space="0" w:sz="0" w:val="nil"/>
              <w:left w:color="000000" w:space="0" w:sz="6" w:val="single"/>
              <w:bottom w:color="000000" w:space="0" w:sz="6" w:val="single"/>
              <w:right w:color="000000" w:space="0" w:sz="6" w:val="single"/>
            </w:tcBorders>
            <w:tcMar>
              <w:top w:w="0.0" w:type="dxa"/>
              <w:left w:w="120.0" w:type="dxa"/>
              <w:bottom w:w="0.0" w:type="dxa"/>
              <w:right w:w="100.0" w:type="dxa"/>
            </w:tcMar>
          </w:tcPr>
          <w:p w:rsidR="00000000" w:rsidDel="00000000" w:rsidP="00000000" w:rsidRDefault="00000000" w:rsidRPr="00000000" w14:paraId="0000004E">
            <w:pPr>
              <w:spacing w:after="120" w:before="240" w:lineRule="auto"/>
              <w:ind w:left="-10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Proactive/Reactive - Partner</w:t>
            </w:r>
          </w:p>
        </w:tc>
        <w:tc>
          <w:tcPr>
            <w:tcBorders>
              <w:top w:color="000000" w:space="0" w:sz="0" w:val="nil"/>
              <w:left w:color="000000" w:space="0" w:sz="0" w:val="nil"/>
              <w:bottom w:color="000000" w:space="0" w:sz="6" w:val="single"/>
              <w:right w:color="000000" w:space="0" w:sz="6" w:val="single"/>
            </w:tcBorders>
            <w:tcMar>
              <w:top w:w="0.0" w:type="dxa"/>
              <w:left w:w="120.0" w:type="dxa"/>
              <w:bottom w:w="0.0" w:type="dxa"/>
              <w:right w:w="100.0" w:type="dxa"/>
            </w:tcMar>
          </w:tcPr>
          <w:p w:rsidR="00000000" w:rsidDel="00000000" w:rsidP="00000000" w:rsidRDefault="00000000" w:rsidRPr="00000000" w14:paraId="0000004F">
            <w:pPr>
              <w:rPr/>
            </w:pPr>
            <w:r w:rsidDel="00000000" w:rsidR="00000000" w:rsidRPr="00000000">
              <w:rPr>
                <w:rFonts w:ascii="Arial" w:cs="Arial" w:eastAsia="Arial" w:hAnsi="Arial"/>
                <w:color w:val="000000"/>
                <w:rtl w:val="0"/>
              </w:rPr>
              <w:t xml:space="preserve">Redacted under FOIA section 43, Commercial Interests</w:t>
            </w:r>
            <w:r w:rsidDel="00000000" w:rsidR="00000000" w:rsidRPr="00000000">
              <w:rPr>
                <w:rtl w:val="0"/>
              </w:rPr>
            </w:r>
          </w:p>
        </w:tc>
      </w:tr>
      <w:tr>
        <w:trPr>
          <w:cantSplit w:val="0"/>
          <w:trHeight w:val="645" w:hRule="atLeast"/>
          <w:tblHeader w:val="0"/>
        </w:trPr>
        <w:tc>
          <w:tcPr>
            <w:tcBorders>
              <w:top w:color="000000" w:space="0" w:sz="0" w:val="nil"/>
              <w:left w:color="000000" w:space="0" w:sz="6" w:val="single"/>
              <w:bottom w:color="000000" w:space="0" w:sz="6" w:val="single"/>
              <w:right w:color="000000" w:space="0" w:sz="6" w:val="single"/>
            </w:tcBorders>
            <w:tcMar>
              <w:top w:w="40.0" w:type="dxa"/>
              <w:left w:w="40.0" w:type="dxa"/>
              <w:bottom w:w="40.0" w:type="dxa"/>
              <w:right w:w="40.0" w:type="dxa"/>
            </w:tcMar>
          </w:tcPr>
          <w:p w:rsidR="00000000" w:rsidDel="00000000" w:rsidP="00000000" w:rsidRDefault="00000000" w:rsidRPr="00000000" w14:paraId="00000050">
            <w:pPr>
              <w:spacing w:after="240" w:before="240" w:lineRule="auto"/>
              <w:ind w:left="40" w:firstLine="0"/>
              <w:rPr>
                <w:rFonts w:ascii="Arial" w:cs="Arial" w:eastAsia="Arial" w:hAnsi="Arial"/>
                <w:sz w:val="24"/>
                <w:szCs w:val="24"/>
              </w:rPr>
            </w:pPr>
            <w:bookmarkStart w:colFirst="0" w:colLast="0" w:name="_gfhtaovzkg1d" w:id="6"/>
            <w:bookmarkEnd w:id="6"/>
            <w:r w:rsidDel="00000000" w:rsidR="00000000" w:rsidRPr="00000000">
              <w:rPr>
                <w:rFonts w:ascii="Arial" w:cs="Arial" w:eastAsia="Arial" w:hAnsi="Arial"/>
                <w:sz w:val="24"/>
                <w:szCs w:val="24"/>
                <w:rtl w:val="0"/>
              </w:rPr>
              <w:t xml:space="preserve">Proactive/Reactive - Director / Senior Audit Manager</w:t>
            </w:r>
          </w:p>
        </w:tc>
        <w:tc>
          <w:tcPr>
            <w:tcBorders>
              <w:top w:color="000000" w:space="0" w:sz="0" w:val="nil"/>
              <w:left w:color="000000" w:space="0" w:sz="0" w:val="nil"/>
              <w:bottom w:color="000000" w:space="0" w:sz="6" w:val="single"/>
              <w:right w:color="000000" w:space="0" w:sz="6" w:val="single"/>
            </w:tcBorders>
            <w:tcMar>
              <w:top w:w="0.0" w:type="dxa"/>
              <w:left w:w="120.0" w:type="dxa"/>
              <w:bottom w:w="0.0" w:type="dxa"/>
              <w:right w:w="100.0" w:type="dxa"/>
            </w:tcMar>
          </w:tcPr>
          <w:p w:rsidR="00000000" w:rsidDel="00000000" w:rsidP="00000000" w:rsidRDefault="00000000" w:rsidRPr="00000000" w14:paraId="00000051">
            <w:pPr>
              <w:rPr/>
            </w:pPr>
            <w:r w:rsidDel="00000000" w:rsidR="00000000" w:rsidRPr="00000000">
              <w:rPr>
                <w:rFonts w:ascii="Arial" w:cs="Arial" w:eastAsia="Arial" w:hAnsi="Arial"/>
                <w:color w:val="000000"/>
                <w:rtl w:val="0"/>
              </w:rPr>
              <w:t xml:space="preserve">Redacted under FOIA section 43, Commercial Interests</w:t>
            </w:r>
            <w:r w:rsidDel="00000000" w:rsidR="00000000" w:rsidRPr="00000000">
              <w:rPr>
                <w:rtl w:val="0"/>
              </w:rPr>
            </w:r>
          </w:p>
        </w:tc>
      </w:tr>
      <w:tr>
        <w:trPr>
          <w:cantSplit w:val="0"/>
          <w:trHeight w:val="645" w:hRule="atLeast"/>
          <w:tblHeader w:val="0"/>
        </w:trPr>
        <w:tc>
          <w:tcPr>
            <w:tcBorders>
              <w:top w:color="000000" w:space="0" w:sz="0" w:val="nil"/>
              <w:left w:color="000000" w:space="0" w:sz="6" w:val="single"/>
              <w:bottom w:color="000000" w:space="0" w:sz="6" w:val="single"/>
              <w:right w:color="000000" w:space="0" w:sz="6" w:val="single"/>
            </w:tcBorders>
            <w:tcMar>
              <w:top w:w="40.0" w:type="dxa"/>
              <w:left w:w="40.0" w:type="dxa"/>
              <w:bottom w:w="40.0" w:type="dxa"/>
              <w:right w:w="40.0" w:type="dxa"/>
            </w:tcMar>
          </w:tcPr>
          <w:p w:rsidR="00000000" w:rsidDel="00000000" w:rsidP="00000000" w:rsidRDefault="00000000" w:rsidRPr="00000000" w14:paraId="00000052">
            <w:pPr>
              <w:spacing w:after="240" w:before="240" w:lineRule="auto"/>
              <w:ind w:left="4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Proactive/Reactive - Audit Manager</w:t>
            </w:r>
          </w:p>
        </w:tc>
        <w:tc>
          <w:tcPr>
            <w:tcBorders>
              <w:top w:color="000000" w:space="0" w:sz="0" w:val="nil"/>
              <w:left w:color="000000" w:space="0" w:sz="0" w:val="nil"/>
              <w:bottom w:color="000000" w:space="0" w:sz="6" w:val="single"/>
              <w:right w:color="000000" w:space="0" w:sz="6" w:val="single"/>
            </w:tcBorders>
            <w:tcMar>
              <w:top w:w="0.0" w:type="dxa"/>
              <w:left w:w="120.0" w:type="dxa"/>
              <w:bottom w:w="0.0" w:type="dxa"/>
              <w:right w:w="100.0" w:type="dxa"/>
            </w:tcMar>
          </w:tcPr>
          <w:p w:rsidR="00000000" w:rsidDel="00000000" w:rsidP="00000000" w:rsidRDefault="00000000" w:rsidRPr="00000000" w14:paraId="00000053">
            <w:pPr>
              <w:rPr/>
            </w:pPr>
            <w:r w:rsidDel="00000000" w:rsidR="00000000" w:rsidRPr="00000000">
              <w:rPr>
                <w:rFonts w:ascii="Arial" w:cs="Arial" w:eastAsia="Arial" w:hAnsi="Arial"/>
                <w:color w:val="000000"/>
                <w:rtl w:val="0"/>
              </w:rPr>
              <w:t xml:space="preserve">Redacted under FOIA section 43, Commercial Interests</w:t>
            </w:r>
            <w:r w:rsidDel="00000000" w:rsidR="00000000" w:rsidRPr="00000000">
              <w:rPr>
                <w:rtl w:val="0"/>
              </w:rPr>
            </w:r>
          </w:p>
        </w:tc>
      </w:tr>
      <w:tr>
        <w:trPr>
          <w:cantSplit w:val="0"/>
          <w:trHeight w:val="645" w:hRule="atLeast"/>
          <w:tblHeader w:val="0"/>
        </w:trPr>
        <w:tc>
          <w:tcPr>
            <w:tcBorders>
              <w:top w:color="000000" w:space="0" w:sz="0" w:val="nil"/>
              <w:left w:color="000000" w:space="0" w:sz="6" w:val="single"/>
              <w:bottom w:color="000000" w:space="0" w:sz="6" w:val="single"/>
              <w:right w:color="000000" w:space="0" w:sz="6" w:val="single"/>
            </w:tcBorders>
            <w:tcMar>
              <w:top w:w="40.0" w:type="dxa"/>
              <w:left w:w="40.0" w:type="dxa"/>
              <w:bottom w:w="40.0" w:type="dxa"/>
              <w:right w:w="40.0" w:type="dxa"/>
            </w:tcMar>
          </w:tcPr>
          <w:p w:rsidR="00000000" w:rsidDel="00000000" w:rsidP="00000000" w:rsidRDefault="00000000" w:rsidRPr="00000000" w14:paraId="00000054">
            <w:pPr>
              <w:spacing w:after="240" w:before="240" w:lineRule="auto"/>
              <w:ind w:left="4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Proactive/Reactive - Senior Auditor</w:t>
            </w:r>
          </w:p>
        </w:tc>
        <w:tc>
          <w:tcPr>
            <w:tcBorders>
              <w:top w:color="000000" w:space="0" w:sz="0" w:val="nil"/>
              <w:left w:color="000000" w:space="0" w:sz="0" w:val="nil"/>
              <w:bottom w:color="000000" w:space="0" w:sz="6" w:val="single"/>
              <w:right w:color="000000" w:space="0" w:sz="6" w:val="single"/>
            </w:tcBorders>
            <w:tcMar>
              <w:top w:w="0.0" w:type="dxa"/>
              <w:left w:w="120.0" w:type="dxa"/>
              <w:bottom w:w="0.0" w:type="dxa"/>
              <w:right w:w="100.0" w:type="dxa"/>
            </w:tcMar>
          </w:tcPr>
          <w:p w:rsidR="00000000" w:rsidDel="00000000" w:rsidP="00000000" w:rsidRDefault="00000000" w:rsidRPr="00000000" w14:paraId="00000055">
            <w:pPr>
              <w:rPr/>
            </w:pPr>
            <w:r w:rsidDel="00000000" w:rsidR="00000000" w:rsidRPr="00000000">
              <w:rPr>
                <w:rFonts w:ascii="Arial" w:cs="Arial" w:eastAsia="Arial" w:hAnsi="Arial"/>
                <w:color w:val="000000"/>
                <w:rtl w:val="0"/>
              </w:rPr>
              <w:t xml:space="preserve">Redacted under FOIA section 43, Commercial Interests</w:t>
            </w:r>
            <w:r w:rsidDel="00000000" w:rsidR="00000000" w:rsidRPr="00000000">
              <w:rPr>
                <w:rtl w:val="0"/>
              </w:rPr>
            </w:r>
          </w:p>
        </w:tc>
      </w:tr>
      <w:tr>
        <w:trPr>
          <w:cantSplit w:val="0"/>
          <w:trHeight w:val="645" w:hRule="atLeast"/>
          <w:tblHeader w:val="0"/>
        </w:trPr>
        <w:tc>
          <w:tcPr>
            <w:tcBorders>
              <w:top w:color="000000" w:space="0" w:sz="0" w:val="nil"/>
              <w:left w:color="000000" w:space="0" w:sz="6" w:val="single"/>
              <w:bottom w:color="000000" w:space="0" w:sz="6" w:val="single"/>
              <w:right w:color="000000" w:space="0" w:sz="6" w:val="single"/>
            </w:tcBorders>
            <w:tcMar>
              <w:top w:w="40.0" w:type="dxa"/>
              <w:left w:w="40.0" w:type="dxa"/>
              <w:bottom w:w="40.0" w:type="dxa"/>
              <w:right w:w="40.0" w:type="dxa"/>
            </w:tcMar>
          </w:tcPr>
          <w:p w:rsidR="00000000" w:rsidDel="00000000" w:rsidP="00000000" w:rsidRDefault="00000000" w:rsidRPr="00000000" w14:paraId="00000056">
            <w:pPr>
              <w:spacing w:after="240" w:before="240" w:lineRule="auto"/>
              <w:ind w:left="4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Proactive/Reactive - Auditor</w:t>
            </w:r>
          </w:p>
        </w:tc>
        <w:tc>
          <w:tcPr>
            <w:tcBorders>
              <w:top w:color="000000" w:space="0" w:sz="0" w:val="nil"/>
              <w:left w:color="000000" w:space="0" w:sz="0" w:val="nil"/>
              <w:bottom w:color="000000" w:space="0" w:sz="6" w:val="single"/>
              <w:right w:color="000000" w:space="0" w:sz="6" w:val="single"/>
            </w:tcBorders>
            <w:tcMar>
              <w:top w:w="0.0" w:type="dxa"/>
              <w:left w:w="120.0" w:type="dxa"/>
              <w:bottom w:w="0.0" w:type="dxa"/>
              <w:right w:w="100.0" w:type="dxa"/>
            </w:tcMar>
          </w:tcPr>
          <w:p w:rsidR="00000000" w:rsidDel="00000000" w:rsidP="00000000" w:rsidRDefault="00000000" w:rsidRPr="00000000" w14:paraId="00000057">
            <w:pPr>
              <w:rPr/>
            </w:pPr>
            <w:r w:rsidDel="00000000" w:rsidR="00000000" w:rsidRPr="00000000">
              <w:rPr>
                <w:rFonts w:ascii="Arial" w:cs="Arial" w:eastAsia="Arial" w:hAnsi="Arial"/>
                <w:color w:val="000000"/>
                <w:rtl w:val="0"/>
              </w:rPr>
              <w:t xml:space="preserve">Redacted under FOIA section 43, Commercial Interests</w:t>
            </w:r>
            <w:r w:rsidDel="00000000" w:rsidR="00000000" w:rsidRPr="00000000">
              <w:rPr>
                <w:rtl w:val="0"/>
              </w:rPr>
            </w:r>
          </w:p>
        </w:tc>
      </w:tr>
      <w:tr>
        <w:trPr>
          <w:cantSplit w:val="0"/>
          <w:trHeight w:val="645" w:hRule="atLeast"/>
          <w:tblHeader w:val="0"/>
        </w:trPr>
        <w:tc>
          <w:tcPr>
            <w:tcBorders>
              <w:top w:color="000000" w:space="0" w:sz="0" w:val="nil"/>
              <w:left w:color="000000" w:space="0" w:sz="6" w:val="single"/>
              <w:bottom w:color="000000" w:space="0" w:sz="6" w:val="single"/>
              <w:right w:color="000000" w:space="0" w:sz="6" w:val="single"/>
            </w:tcBorders>
            <w:tcMar>
              <w:top w:w="40.0" w:type="dxa"/>
              <w:left w:w="40.0" w:type="dxa"/>
              <w:bottom w:w="40.0" w:type="dxa"/>
              <w:right w:w="40.0" w:type="dxa"/>
            </w:tcMar>
          </w:tcPr>
          <w:p w:rsidR="00000000" w:rsidDel="00000000" w:rsidP="00000000" w:rsidRDefault="00000000" w:rsidRPr="00000000" w14:paraId="00000058">
            <w:pPr>
              <w:spacing w:after="240" w:before="240" w:lineRule="auto"/>
              <w:ind w:left="4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Proactive/Reactive - Trainee Auditor / Analyst</w:t>
            </w:r>
          </w:p>
        </w:tc>
        <w:tc>
          <w:tcPr>
            <w:tcBorders>
              <w:top w:color="000000" w:space="0" w:sz="0" w:val="nil"/>
              <w:left w:color="000000" w:space="0" w:sz="0" w:val="nil"/>
              <w:bottom w:color="000000" w:space="0" w:sz="6" w:val="single"/>
              <w:right w:color="000000" w:space="0" w:sz="6" w:val="single"/>
            </w:tcBorders>
            <w:tcMar>
              <w:top w:w="0.0" w:type="dxa"/>
              <w:left w:w="120.0" w:type="dxa"/>
              <w:bottom w:w="0.0" w:type="dxa"/>
              <w:right w:w="100.0" w:type="dxa"/>
            </w:tcMar>
          </w:tcPr>
          <w:p w:rsidR="00000000" w:rsidDel="00000000" w:rsidP="00000000" w:rsidRDefault="00000000" w:rsidRPr="00000000" w14:paraId="00000059">
            <w:pPr>
              <w:rPr/>
            </w:pPr>
            <w:r w:rsidDel="00000000" w:rsidR="00000000" w:rsidRPr="00000000">
              <w:rPr>
                <w:rFonts w:ascii="Arial" w:cs="Arial" w:eastAsia="Arial" w:hAnsi="Arial"/>
                <w:color w:val="000000"/>
                <w:rtl w:val="0"/>
              </w:rPr>
              <w:t xml:space="preserve">Redacted under FOIA section 43, Commercial Interests</w:t>
            </w:r>
            <w:r w:rsidDel="00000000" w:rsidR="00000000" w:rsidRPr="00000000">
              <w:rPr>
                <w:rtl w:val="0"/>
              </w:rPr>
            </w:r>
          </w:p>
        </w:tc>
      </w:tr>
    </w:tbl>
    <w:p w:rsidR="00000000" w:rsidDel="00000000" w:rsidP="00000000" w:rsidRDefault="00000000" w:rsidRPr="00000000" w14:paraId="0000005A">
      <w:pPr>
        <w:keepNext w:val="1"/>
        <w:spacing w:after="240" w:before="24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Alternative Pricing Mechanisms</w:t>
      </w:r>
    </w:p>
    <w:p w:rsidR="00000000" w:rsidDel="00000000" w:rsidP="00000000" w:rsidRDefault="00000000" w:rsidRPr="00000000" w14:paraId="0000005B">
      <w:pPr>
        <w:keepNext w:val="1"/>
        <w:spacing w:after="240" w:before="24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non-exhaustive list of pricing mechanisms are also available for use by Buyers in Call-Off Contracts. </w:t>
      </w:r>
    </w:p>
    <w:p w:rsidR="00000000" w:rsidDel="00000000" w:rsidP="00000000" w:rsidRDefault="00000000" w:rsidRPr="00000000" w14:paraId="0000005C">
      <w:pPr>
        <w:keepNext w:val="1"/>
        <w:numPr>
          <w:ilvl w:val="0"/>
          <w:numId w:val="2"/>
        </w:numPr>
        <w:spacing w:after="0" w:before="240" w:line="240"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Contingent price</w:t>
      </w:r>
    </w:p>
    <w:p w:rsidR="00000000" w:rsidDel="00000000" w:rsidP="00000000" w:rsidRDefault="00000000" w:rsidRPr="00000000" w14:paraId="0000005D">
      <w:pPr>
        <w:keepNext w:val="1"/>
        <w:numPr>
          <w:ilvl w:val="0"/>
          <w:numId w:val="2"/>
        </w:numPr>
        <w:spacing w:after="0" w:line="240"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Fixed price</w:t>
      </w:r>
    </w:p>
    <w:p w:rsidR="00000000" w:rsidDel="00000000" w:rsidP="00000000" w:rsidRDefault="00000000" w:rsidRPr="00000000" w14:paraId="0000005E">
      <w:pPr>
        <w:keepNext w:val="1"/>
        <w:numPr>
          <w:ilvl w:val="0"/>
          <w:numId w:val="2"/>
        </w:numPr>
        <w:spacing w:after="0" w:line="240"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Milestone prices</w:t>
      </w:r>
    </w:p>
    <w:p w:rsidR="00000000" w:rsidDel="00000000" w:rsidP="00000000" w:rsidRDefault="00000000" w:rsidRPr="00000000" w14:paraId="0000005F">
      <w:pPr>
        <w:keepNext w:val="1"/>
        <w:numPr>
          <w:ilvl w:val="0"/>
          <w:numId w:val="2"/>
        </w:numPr>
        <w:spacing w:after="0" w:line="240"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Risk and reward</w:t>
      </w:r>
    </w:p>
    <w:p w:rsidR="00000000" w:rsidDel="00000000" w:rsidP="00000000" w:rsidRDefault="00000000" w:rsidRPr="00000000" w14:paraId="00000060">
      <w:pPr>
        <w:keepNext w:val="1"/>
        <w:numPr>
          <w:ilvl w:val="0"/>
          <w:numId w:val="2"/>
        </w:numPr>
        <w:spacing w:after="0" w:line="240"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Volume based pricing</w:t>
      </w:r>
    </w:p>
    <w:p w:rsidR="00000000" w:rsidDel="00000000" w:rsidP="00000000" w:rsidRDefault="00000000" w:rsidRPr="00000000" w14:paraId="00000061">
      <w:pPr>
        <w:keepNext w:val="1"/>
        <w:numPr>
          <w:ilvl w:val="0"/>
          <w:numId w:val="2"/>
        </w:numPr>
        <w:spacing w:after="240" w:line="240"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Technology enabled services</w:t>
      </w:r>
    </w:p>
    <w:p w:rsidR="00000000" w:rsidDel="00000000" w:rsidP="00000000" w:rsidRDefault="00000000" w:rsidRPr="00000000" w14:paraId="00000062">
      <w:pPr>
        <w:rPr>
          <w:rFonts w:ascii="Arial" w:cs="Arial" w:eastAsia="Arial" w:hAnsi="Arial"/>
          <w:b w:val="1"/>
          <w:sz w:val="24"/>
          <w:szCs w:val="24"/>
        </w:rPr>
      </w:pPr>
      <w:r w:rsidDel="00000000" w:rsidR="00000000" w:rsidRPr="00000000">
        <w:rPr>
          <w:rFonts w:ascii="Arial" w:cs="Arial" w:eastAsia="Arial" w:hAnsi="Arial"/>
          <w:sz w:val="24"/>
          <w:szCs w:val="24"/>
          <w:rtl w:val="0"/>
        </w:rPr>
        <w:t xml:space="preserve">The rates tendered under the above alternative pricing mechanisms are also subject to variation by way of indexation if allowed in the Order Form.</w:t>
      </w:r>
      <w:r w:rsidDel="00000000" w:rsidR="00000000" w:rsidRPr="00000000">
        <w:rPr>
          <w:rtl w:val="0"/>
        </w:rPr>
      </w:r>
    </w:p>
    <w:sectPr>
      <w:headerReference r:id="rId6" w:type="default"/>
      <w:headerReference r:id="rId7" w:type="first"/>
      <w:footerReference r:id="rId8" w:type="default"/>
      <w:footerReference r:id="rId9" w:type="first"/>
      <w:pgSz w:h="16838" w:w="11906" w:orient="portrait"/>
      <w:pgMar w:bottom="1440" w:top="1888"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7">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RM6310</w:t>
      <w:tab/>
      <w:t xml:space="preserve">                                           </w:t>
    </w:r>
  </w:p>
  <w:p w:rsidR="00000000" w:rsidDel="00000000" w:rsidP="00000000" w:rsidRDefault="00000000" w:rsidRPr="00000000" w14:paraId="00000068">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69">
    <w:pPr>
      <w:tabs>
        <w:tab w:val="left" w:leader="none" w:pos="720"/>
        <w:tab w:val="left" w:leader="none" w:pos="1440"/>
        <w:tab w:val="left" w:leader="none" w:pos="2160"/>
        <w:tab w:val="left" w:leader="none" w:pos="2880"/>
        <w:tab w:val="left" w:leader="none" w:pos="3600"/>
        <w:tab w:val="left" w:leader="none" w:pos="4320"/>
        <w:tab w:val="left" w:leader="none" w:pos="4905"/>
      </w:tabs>
      <w:spacing w:after="0" w:line="240" w:lineRule="auto"/>
      <w:jc w:val="both"/>
      <w:rPr>
        <w:rFonts w:ascii="Arial" w:cs="Arial" w:eastAsia="Arial" w:hAnsi="Arial"/>
        <w:color w:val="bfbfbf"/>
        <w:sz w:val="20"/>
        <w:szCs w:val="20"/>
      </w:rPr>
    </w:pPr>
    <w:r w:rsidDel="00000000" w:rsidR="00000000" w:rsidRPr="00000000">
      <w:rPr>
        <w:rFonts w:ascii="Arial" w:cs="Arial" w:eastAsia="Arial" w:hAnsi="Arial"/>
        <w:sz w:val="20"/>
        <w:szCs w:val="20"/>
        <w:rtl w:val="0"/>
      </w:rPr>
      <w:t xml:space="preserve">Model Version: v3.1</w:t>
      <w:tab/>
    </w:r>
    <w:r w:rsidDel="00000000" w:rsidR="00000000" w:rsidRPr="00000000">
      <w:rPr>
        <w:rFonts w:ascii="Arial" w:cs="Arial" w:eastAsia="Arial" w:hAnsi="Arial"/>
        <w:color w:val="bfbfbf"/>
        <w:sz w:val="20"/>
        <w:szCs w:val="20"/>
        <w:rtl w:val="0"/>
      </w:rPr>
      <w:tab/>
    </w:r>
    <w:r w:rsidDel="00000000" w:rsidR="00000000" w:rsidRPr="00000000">
      <w:rPr>
        <w:color w:val="bfbfbf"/>
        <w:rtl w:val="0"/>
      </w:rPr>
      <w:tab/>
      <w:tab/>
      <w:tab/>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A">
    <w:pPr>
      <w:tabs>
        <w:tab w:val="center" w:leader="none" w:pos="4513"/>
        <w:tab w:val="right" w:leader="none" w:pos="9026"/>
      </w:tabs>
      <w:spacing w:after="0" w:lineRule="auto"/>
      <w:rPr/>
    </w:pPr>
    <w:r w:rsidDel="00000000" w:rsidR="00000000" w:rsidRPr="00000000">
      <w:rPr>
        <w:rtl w:val="0"/>
      </w:rPr>
      <w:t xml:space="preserve">Framework Ref: RM</w:t>
      <w:tab/>
      <w:t xml:space="preserve">                                           </w:t>
    </w:r>
  </w:p>
  <w:p w:rsidR="00000000" w:rsidDel="00000000" w:rsidP="00000000" w:rsidRDefault="00000000" w:rsidRPr="00000000" w14:paraId="0000006B">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6C">
    <w:pPr>
      <w:tabs>
        <w:tab w:val="left" w:leader="none" w:pos="720"/>
        <w:tab w:val="left" w:leader="none" w:pos="1440"/>
        <w:tab w:val="left" w:leader="none" w:pos="2160"/>
        <w:tab w:val="left" w:leader="none" w:pos="2880"/>
        <w:tab w:val="left" w:leader="none" w:pos="3600"/>
        <w:tab w:val="left" w:leader="none" w:pos="4320"/>
        <w:tab w:val="left" w:leader="none" w:pos="4905"/>
      </w:tabs>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v3.0</w:t>
      <w:tab/>
      <w:tab/>
      <w:tab/>
    </w:r>
    <w:r w:rsidDel="00000000" w:rsidR="00000000" w:rsidRPr="00000000">
      <w:rPr>
        <w:rtl w:val="0"/>
      </w:rPr>
      <w:tab/>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3">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Framework Schedule 3 (Framework Prices)</w:t>
    </w:r>
  </w:p>
  <w:p w:rsidR="00000000" w:rsidDel="00000000" w:rsidP="00000000" w:rsidRDefault="00000000" w:rsidRPr="00000000" w14:paraId="00000064">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23</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5">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Framework Schedule 3 (Framework Prices)</w:t>
    </w:r>
  </w:p>
  <w:p w:rsidR="00000000" w:rsidDel="00000000" w:rsidP="00000000" w:rsidRDefault="00000000" w:rsidRPr="00000000" w14:paraId="00000066">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color w:val="000000"/>
        <w:sz w:val="20"/>
        <w:szCs w:val="20"/>
        <w:rtl w:val="0"/>
      </w:rPr>
      <w:t xml:space="preserve">Crown Copyright 2018</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77"/>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990" w:hanging="720"/>
      </w:pPr>
      <w:rPr>
        <w:b w:val="0"/>
        <w:i w:val="0"/>
        <w:smallCaps w:val="0"/>
        <w:strike w:val="0"/>
        <w:color w:val="000000"/>
        <w:sz w:val="24"/>
        <w:szCs w:val="24"/>
        <w:u w:val="none"/>
        <w:vertAlign w:val="baseline"/>
      </w:rPr>
    </w:lvl>
    <w:lvl w:ilvl="3">
      <w:start w:val="1"/>
      <w:numFmt w:val="lowerLetter"/>
      <w:lvlText w:val="(%4)"/>
      <w:lvlJc w:val="left"/>
      <w:pPr>
        <w:ind w:left="3272"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_GB"/>
      </w:rPr>
    </w:rPrDefault>
    <w:pPrDefault>
      <w:pPr>
        <w:spacing w:after="200"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